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center"/>
        <w:rPr>
          <w:rFonts w:ascii="方正小标宋简体" w:hAnsi="方正小标宋简体" w:eastAsia="方正小标宋简体" w:cs="方正小标宋简体"/>
          <w:b/>
          <w:sz w:val="36"/>
          <w:szCs w:val="36"/>
        </w:rPr>
      </w:pPr>
    </w:p>
    <w:p>
      <w:pPr>
        <w:adjustRightInd w:val="0"/>
        <w:snapToGrid w:val="0"/>
        <w:spacing w:line="540" w:lineRule="exact"/>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湖州师范学院</w:t>
      </w:r>
      <w:r>
        <w:rPr>
          <w:rFonts w:ascii="方正小标宋简体" w:hAnsi="方正小标宋简体" w:eastAsia="方正小标宋简体" w:cs="方正小标宋简体"/>
          <w:b/>
          <w:sz w:val="36"/>
          <w:szCs w:val="36"/>
        </w:rPr>
        <w:t>201</w:t>
      </w:r>
      <w:r>
        <w:rPr>
          <w:rFonts w:hint="eastAsia" w:ascii="方正小标宋简体" w:hAnsi="方正小标宋简体" w:eastAsia="方正小标宋简体" w:cs="方正小标宋简体"/>
          <w:b/>
          <w:sz w:val="36"/>
          <w:szCs w:val="36"/>
        </w:rPr>
        <w:t>9</w:t>
      </w:r>
      <w:r>
        <w:rPr>
          <w:rFonts w:ascii="方正小标宋简体" w:hAnsi="方正小标宋简体" w:eastAsia="方正小标宋简体" w:cs="方正小标宋简体"/>
          <w:b/>
          <w:sz w:val="36"/>
          <w:szCs w:val="36"/>
        </w:rPr>
        <w:t>-20</w:t>
      </w:r>
      <w:r>
        <w:rPr>
          <w:rFonts w:hint="eastAsia" w:ascii="方正小标宋简体" w:hAnsi="方正小标宋简体" w:eastAsia="方正小标宋简体" w:cs="方正小标宋简体"/>
          <w:b/>
          <w:sz w:val="36"/>
          <w:szCs w:val="36"/>
        </w:rPr>
        <w:t>20学年信息公开工作年度报告</w:t>
      </w:r>
    </w:p>
    <w:p>
      <w:pPr>
        <w:adjustRightInd w:val="0"/>
        <w:snapToGrid w:val="0"/>
        <w:spacing w:line="540" w:lineRule="exact"/>
        <w:jc w:val="center"/>
        <w:rPr>
          <w:rFonts w:ascii="方正小标宋简体" w:hAnsi="方正小标宋简体" w:eastAsia="方正小标宋简体" w:cs="方正小标宋简体"/>
          <w:sz w:val="30"/>
          <w:szCs w:val="30"/>
        </w:rPr>
      </w:pPr>
    </w:p>
    <w:p>
      <w:pPr>
        <w:pStyle w:val="2"/>
        <w:spacing w:before="0" w:after="0" w:line="580" w:lineRule="exact"/>
        <w:ind w:firstLine="560" w:firstLineChars="200"/>
        <w:jc w:val="left"/>
        <w:rPr>
          <w:rFonts w:ascii="宋体" w:hAnsi="宋体" w:cs="宋体"/>
          <w:b w:val="0"/>
          <w:bCs w:val="0"/>
          <w:color w:val="000000" w:themeColor="text1"/>
          <w:kern w:val="0"/>
          <w:sz w:val="28"/>
          <w:szCs w:val="28"/>
        </w:rPr>
      </w:pPr>
      <w:r>
        <w:rPr>
          <w:rFonts w:hint="eastAsia" w:ascii="宋体" w:hAnsi="宋体" w:cs="宋体"/>
          <w:b w:val="0"/>
          <w:bCs w:val="0"/>
          <w:color w:val="000000" w:themeColor="text1"/>
          <w:kern w:val="0"/>
          <w:sz w:val="28"/>
          <w:szCs w:val="28"/>
        </w:rPr>
        <w:t>根据《高等学校信息公开办法》（2010）《高等学校信息公开事项清单》《中华人民共和国政府信息公开条例》（2019年中华人民共和国国务院令第711号）及我校《党务信息公开工作实施办法》（2019）《校务信息公开工作实施办法》（2019）等文件精神，我校深入学习习近平新时代中国特色社会主义思想，按照党中央、国务院关于政务公开的部署及教育部、省教育厅关于高校信息公开工作的要求，坚持“以公开为常态、不公开为例外”原则，全面推进党务、校务信息公开工作，助推学校改革发展。现将2019-2020学年我校信息公开工作报告如下：</w:t>
      </w:r>
    </w:p>
    <w:p>
      <w:pPr>
        <w:pStyle w:val="8"/>
        <w:widowControl/>
        <w:adjustRightInd w:val="0"/>
        <w:snapToGrid w:val="0"/>
        <w:spacing w:before="0" w:beforeAutospacing="0" w:after="0" w:afterAutospacing="0" w:line="580" w:lineRule="exact"/>
        <w:ind w:firstLine="500"/>
        <w:rPr>
          <w:rFonts w:ascii="黑体" w:hAnsi="黑体" w:eastAsia="黑体" w:cs="黑体"/>
          <w:b/>
          <w:color w:val="000000" w:themeColor="text1"/>
          <w:sz w:val="28"/>
          <w:szCs w:val="28"/>
        </w:rPr>
      </w:pPr>
      <w:r>
        <w:rPr>
          <w:rFonts w:hint="eastAsia" w:ascii="黑体" w:hAnsi="黑体" w:eastAsia="黑体" w:cs="黑体"/>
          <w:b/>
          <w:color w:val="000000" w:themeColor="text1"/>
          <w:sz w:val="28"/>
          <w:szCs w:val="28"/>
        </w:rPr>
        <w:t>一、信息公开工作概述</w:t>
      </w:r>
    </w:p>
    <w:p>
      <w:pPr>
        <w:adjustRightInd w:val="0"/>
        <w:snapToGrid w:val="0"/>
        <w:spacing w:line="580" w:lineRule="exact"/>
        <w:rPr>
          <w:rFonts w:ascii="宋体" w:cs="宋体"/>
          <w:color w:val="000000" w:themeColor="text1"/>
          <w:sz w:val="28"/>
          <w:szCs w:val="28"/>
        </w:rPr>
      </w:pPr>
      <w:r>
        <w:rPr>
          <w:rFonts w:ascii="宋体" w:hAnsi="宋体" w:cs="宋体"/>
          <w:color w:val="000000" w:themeColor="text1"/>
          <w:sz w:val="28"/>
          <w:szCs w:val="28"/>
        </w:rPr>
        <w:t xml:space="preserve">    </w:t>
      </w:r>
      <w:r>
        <w:rPr>
          <w:rFonts w:hint="eastAsia" w:ascii="宋体" w:hAnsi="宋体" w:cs="宋体"/>
          <w:color w:val="000000" w:themeColor="text1"/>
          <w:sz w:val="28"/>
          <w:szCs w:val="28"/>
        </w:rPr>
        <w:t>2019-</w:t>
      </w:r>
      <w:r>
        <w:rPr>
          <w:rFonts w:hint="eastAsia" w:ascii="宋体" w:hAnsi="宋体" w:cs="宋体"/>
          <w:color w:val="000000" w:themeColor="text1"/>
          <w:kern w:val="0"/>
          <w:sz w:val="28"/>
          <w:szCs w:val="28"/>
        </w:rPr>
        <w:t>2020学年，我校高度重视信息公开工作，将信息公开工作作为提升学校治理能力，完善依</w:t>
      </w:r>
      <w:r>
        <w:rPr>
          <w:rFonts w:hint="eastAsia" w:ascii="宋体" w:hAnsi="宋体" w:cs="宋体"/>
          <w:color w:val="000000" w:themeColor="text1"/>
          <w:sz w:val="28"/>
          <w:szCs w:val="28"/>
        </w:rPr>
        <w:t>法治校的重要抓手，不断推进信息公开工作的制度化、科学化和规范化，保障广大师生和社会公众的知情权。</w:t>
      </w:r>
    </w:p>
    <w:p>
      <w:pPr>
        <w:adjustRightInd w:val="0"/>
        <w:snapToGrid w:val="0"/>
        <w:spacing w:line="580" w:lineRule="exact"/>
        <w:ind w:firstLine="562" w:firstLineChars="200"/>
        <w:rPr>
          <w:rFonts w:ascii="宋体" w:cs="楷体_GB2312"/>
          <w:b/>
          <w:bCs/>
          <w:color w:val="000000" w:themeColor="text1"/>
          <w:sz w:val="28"/>
          <w:szCs w:val="28"/>
        </w:rPr>
      </w:pPr>
      <w:r>
        <w:rPr>
          <w:rFonts w:hint="eastAsia" w:ascii="宋体" w:hAnsi="宋体" w:cs="楷体_GB2312"/>
          <w:b/>
          <w:bCs/>
          <w:color w:val="000000" w:themeColor="text1"/>
          <w:sz w:val="28"/>
          <w:szCs w:val="28"/>
        </w:rPr>
        <w:t>（一）提高认识，完善信息公开工作机制</w:t>
      </w:r>
    </w:p>
    <w:p>
      <w:pPr>
        <w:adjustRightInd w:val="0"/>
        <w:snapToGrid w:val="0"/>
        <w:spacing w:line="58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修订学校《党务信息公开工作实施办法》和《校务信息公开工作实施办法》，细化党务、校务公开二级目录，明确文件制定与解读同部署，切实推进信息公开工作的责任落实，举措落地。同时利用二级单位办公室主任会议，对相关工作人员进行信息公开制度和政策的学习培训，提升业务能力。</w:t>
      </w:r>
    </w:p>
    <w:p>
      <w:pPr>
        <w:adjustRightInd w:val="0"/>
        <w:snapToGrid w:val="0"/>
        <w:spacing w:line="580" w:lineRule="exact"/>
        <w:ind w:firstLine="562" w:firstLineChars="200"/>
        <w:rPr>
          <w:rFonts w:ascii="宋体" w:hAnsi="宋体" w:cs="楷体_GB2312"/>
          <w:b/>
          <w:bCs/>
          <w:color w:val="000000" w:themeColor="text1"/>
          <w:sz w:val="28"/>
          <w:szCs w:val="28"/>
        </w:rPr>
      </w:pPr>
      <w:r>
        <w:rPr>
          <w:rFonts w:hint="eastAsia" w:ascii="宋体" w:hAnsi="宋体" w:cs="楷体_GB2312"/>
          <w:b/>
          <w:bCs/>
          <w:color w:val="000000" w:themeColor="text1"/>
          <w:sz w:val="28"/>
          <w:szCs w:val="28"/>
        </w:rPr>
        <w:t>（二）突出重点，深入推进信息公开清单落实</w:t>
      </w:r>
    </w:p>
    <w:p>
      <w:pPr>
        <w:adjustRightInd w:val="0"/>
        <w:snapToGrid w:val="0"/>
        <w:spacing w:line="580" w:lineRule="exact"/>
        <w:ind w:firstLine="560" w:firstLineChars="200"/>
        <w:rPr>
          <w:rFonts w:ascii="宋体" w:cs="宋体"/>
          <w:color w:val="000000" w:themeColor="text1"/>
          <w:sz w:val="28"/>
          <w:szCs w:val="28"/>
        </w:rPr>
      </w:pPr>
      <w:r>
        <w:rPr>
          <w:rFonts w:hint="eastAsia" w:ascii="宋体" w:hAnsi="宋体" w:cs="宋体"/>
          <w:color w:val="000000" w:themeColor="text1"/>
          <w:sz w:val="28"/>
          <w:szCs w:val="28"/>
        </w:rPr>
        <w:t>严格按照</w:t>
      </w:r>
      <w:r>
        <w:rPr>
          <w:rFonts w:hint="eastAsia" w:ascii="宋体" w:hAnsi="宋体" w:cs="宋体"/>
          <w:color w:val="000000" w:themeColor="text1"/>
          <w:kern w:val="0"/>
          <w:sz w:val="28"/>
          <w:szCs w:val="28"/>
        </w:rPr>
        <w:t>《高等学校信息公开事项清单》，在广泛征求意见的基础上，根据工作实际，将信息公开内容分为党务信息公开和校务信息公开。党务公开内容细分为6大类67项清单，校务公开分为10大类88项清单，并明确了公开的具体内容、公开范围、公开时间、公开方式和责任部门，</w:t>
      </w:r>
      <w:r>
        <w:rPr>
          <w:rFonts w:hint="eastAsia" w:ascii="宋体" w:hAnsi="宋体" w:cs="宋体"/>
          <w:color w:val="000000" w:themeColor="text1"/>
          <w:sz w:val="28"/>
          <w:szCs w:val="28"/>
        </w:rPr>
        <w:t>确保信息公开各项工作落到实处。</w:t>
      </w:r>
    </w:p>
    <w:p>
      <w:pPr>
        <w:adjustRightInd w:val="0"/>
        <w:snapToGrid w:val="0"/>
        <w:spacing w:line="580" w:lineRule="exact"/>
        <w:ind w:firstLine="562" w:firstLineChars="200"/>
        <w:rPr>
          <w:rFonts w:ascii="楷体_GB2312" w:hAnsi="宋体" w:eastAsia="楷体_GB2312" w:cs="宋体"/>
          <w:b/>
          <w:color w:val="000000" w:themeColor="text1"/>
          <w:sz w:val="28"/>
          <w:szCs w:val="28"/>
        </w:rPr>
      </w:pPr>
      <w:r>
        <w:rPr>
          <w:rFonts w:hint="eastAsia" w:ascii="楷体_GB2312" w:hAnsi="宋体" w:eastAsia="楷体_GB2312" w:cs="宋体"/>
          <w:b/>
          <w:color w:val="000000" w:themeColor="text1"/>
          <w:sz w:val="28"/>
          <w:szCs w:val="28"/>
        </w:rPr>
        <w:t>（三）拓宽形式，加强信息公开载体建设</w:t>
      </w:r>
    </w:p>
    <w:p>
      <w:pPr>
        <w:adjustRightInd w:val="0"/>
        <w:snapToGrid w:val="0"/>
        <w:spacing w:line="580" w:lineRule="exact"/>
        <w:ind w:firstLine="560"/>
        <w:rPr>
          <w:rFonts w:ascii="宋体" w:hAnsi="宋体" w:cs="宋体"/>
          <w:color w:val="000000" w:themeColor="text1"/>
          <w:sz w:val="28"/>
          <w:szCs w:val="28"/>
        </w:rPr>
      </w:pPr>
      <w:r>
        <w:rPr>
          <w:rFonts w:hint="eastAsia" w:ascii="楷体_GB2312" w:hAnsi="宋体" w:eastAsia="楷体_GB2312" w:cs="宋体"/>
          <w:b/>
          <w:color w:val="000000" w:themeColor="text1"/>
          <w:sz w:val="28"/>
          <w:szCs w:val="28"/>
        </w:rPr>
        <w:t>一是会议公开。</w:t>
      </w:r>
      <w:r>
        <w:rPr>
          <w:rFonts w:hint="eastAsia" w:ascii="宋体" w:hAnsi="宋体" w:cs="宋体"/>
          <w:color w:val="000000" w:themeColor="text1"/>
          <w:sz w:val="28"/>
          <w:szCs w:val="28"/>
        </w:rPr>
        <w:t>事关学校改革发展、涉及教职工切身利益的相关重大事项通过教代会、工代会向广大师生公开，利用各类工作会议、座谈会通报学校有关重大事项。</w:t>
      </w:r>
      <w:r>
        <w:rPr>
          <w:rFonts w:hint="eastAsia" w:ascii="楷体_GB2312" w:hAnsi="宋体" w:eastAsia="楷体_GB2312" w:cs="宋体"/>
          <w:b/>
          <w:color w:val="000000" w:themeColor="text1"/>
          <w:sz w:val="28"/>
          <w:szCs w:val="28"/>
        </w:rPr>
        <w:t>二是宣传媒体公开。</w:t>
      </w:r>
      <w:r>
        <w:rPr>
          <w:rFonts w:hint="eastAsia" w:ascii="宋体" w:hAnsi="宋体" w:cs="宋体"/>
          <w:color w:val="000000" w:themeColor="text1"/>
          <w:sz w:val="28"/>
          <w:szCs w:val="28"/>
        </w:rPr>
        <w:t>通过《湖州师范学院报》、校园广播、校园网、微博、微信、网络电视等形式及时发布有关内容和信息；</w:t>
      </w:r>
      <w:r>
        <w:rPr>
          <w:rFonts w:hint="eastAsia" w:ascii="楷体_GB2312" w:hAnsi="宋体" w:eastAsia="楷体_GB2312" w:cs="宋体"/>
          <w:b/>
          <w:color w:val="000000" w:themeColor="text1"/>
          <w:sz w:val="28"/>
          <w:szCs w:val="28"/>
        </w:rPr>
        <w:t>三是材料形式公开。</w:t>
      </w:r>
      <w:r>
        <w:rPr>
          <w:rFonts w:hint="eastAsia" w:ascii="宋体" w:hAnsi="宋体" w:cs="宋体"/>
          <w:color w:val="000000" w:themeColor="text1"/>
          <w:sz w:val="28"/>
          <w:szCs w:val="28"/>
        </w:rPr>
        <w:t>主要通过学校文件、会议纪要、校情通报、一周工作安排等公开学校的重要事项，以通知书、邮件、家长信等形式向学生和家长公开。</w:t>
      </w:r>
      <w:r>
        <w:rPr>
          <w:rFonts w:hint="eastAsia" w:ascii="楷体_GB2312" w:hAnsi="宋体" w:eastAsia="楷体_GB2312" w:cs="宋体"/>
          <w:b/>
          <w:color w:val="000000" w:themeColor="text1"/>
          <w:sz w:val="28"/>
          <w:szCs w:val="28"/>
        </w:rPr>
        <w:t>四是以反馈形式公开。</w:t>
      </w:r>
      <w:r>
        <w:rPr>
          <w:rFonts w:hint="eastAsia" w:ascii="宋体" w:hAnsi="宋体" w:cs="宋体"/>
          <w:color w:val="000000" w:themeColor="text1"/>
          <w:sz w:val="28"/>
          <w:szCs w:val="28"/>
        </w:rPr>
        <w:t xml:space="preserve">学校在校园网首页设立书记校长信箱，方便师生与校领导沟通交流，及时回应师生诉求。  </w:t>
      </w:r>
    </w:p>
    <w:p>
      <w:pPr>
        <w:adjustRightInd w:val="0"/>
        <w:snapToGrid w:val="0"/>
        <w:spacing w:line="580" w:lineRule="exact"/>
        <w:ind w:firstLine="562" w:firstLineChars="200"/>
        <w:rPr>
          <w:rFonts w:ascii="黑体" w:hAnsi="黑体" w:eastAsia="黑体" w:cs="黑体"/>
          <w:b/>
          <w:color w:val="000000" w:themeColor="text1"/>
          <w:sz w:val="28"/>
          <w:szCs w:val="28"/>
        </w:rPr>
      </w:pPr>
      <w:r>
        <w:rPr>
          <w:rFonts w:hint="eastAsia" w:ascii="黑体" w:hAnsi="黑体" w:eastAsia="黑体" w:cs="黑体"/>
          <w:b/>
          <w:color w:val="000000" w:themeColor="text1"/>
          <w:sz w:val="28"/>
          <w:szCs w:val="28"/>
        </w:rPr>
        <w:t>二、学校信息公开情况</w:t>
      </w:r>
    </w:p>
    <w:p>
      <w:pPr>
        <w:adjustRightInd w:val="0"/>
        <w:snapToGrid w:val="0"/>
        <w:spacing w:line="580" w:lineRule="exact"/>
        <w:ind w:firstLine="562" w:firstLineChars="200"/>
        <w:rPr>
          <w:rFonts w:ascii="楷体_GB2312" w:hAnsi="楷体_GB2312" w:eastAsia="楷体_GB2312" w:cs="楷体_GB2312"/>
          <w:b/>
          <w:bCs/>
          <w:color w:val="000000" w:themeColor="text1"/>
          <w:sz w:val="28"/>
          <w:szCs w:val="28"/>
        </w:rPr>
      </w:pPr>
      <w:r>
        <w:rPr>
          <w:rFonts w:hint="eastAsia" w:ascii="宋体" w:hAnsi="宋体" w:cs="楷体_GB2312"/>
          <w:b/>
          <w:bCs/>
          <w:color w:val="000000" w:themeColor="text1"/>
          <w:sz w:val="28"/>
          <w:szCs w:val="28"/>
        </w:rPr>
        <w:t>（一）主动公开学校信息情况</w:t>
      </w:r>
    </w:p>
    <w:p>
      <w:pPr>
        <w:adjustRightInd w:val="0"/>
        <w:snapToGrid w:val="0"/>
        <w:spacing w:line="580" w:lineRule="exact"/>
        <w:ind w:firstLine="560"/>
        <w:rPr>
          <w:rFonts w:ascii="宋体" w:hAnsi="宋体" w:cs="宋体"/>
          <w:color w:val="000000" w:themeColor="text1"/>
          <w:sz w:val="28"/>
          <w:szCs w:val="28"/>
        </w:rPr>
      </w:pPr>
      <w:r>
        <w:rPr>
          <w:rFonts w:hint="eastAsia" w:ascii="宋体" w:hAnsi="宋体" w:cs="宋体"/>
          <w:color w:val="000000" w:themeColor="text1"/>
          <w:sz w:val="28"/>
          <w:szCs w:val="28"/>
        </w:rPr>
        <w:t>我校信息公开的主要内容为：领导学校发展情况；落实全面从严治党责任，加强党的建设情况；党的组织职能、机构等情况；学校重要决策及执行情况；学校承诺办理的重要事项和完成情况；学校机构设置调整和人事调配招聘情况；科研项目（成果）评审、专业技术职务评审情况；教职工奖惩、收入分配及薪酬体系、福利等涉及教职工切身利益的重大事项；招标采购；科研经费；学生招生考试、教学质量、入团入党、评优评先、奖助学金、转学转专业等涉及学生切身利益的事项。</w:t>
      </w:r>
    </w:p>
    <w:p>
      <w:pPr>
        <w:adjustRightInd w:val="0"/>
        <w:snapToGrid w:val="0"/>
        <w:spacing w:line="58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 xml:space="preserve">为进一步提高工作透明度，通过《湖州师范学院报》、官方网站、广播台、网络电视、官方微博、官方微信等公共平台发布各类信息，满足社会和师生员工及时了解学校发展动态的需求。学校官方网站共发表要闻、动态、通知公告、学术信息等1858条；出版《湖州师范学院报》20期；学校官方微博现有粉丝40000余人。学校官方微信目前已有粉丝近53600人，发布信息千余条，《南方周末》刊登的“全国高校官方微信排名”中，我校稳定在全国百强以内。网络电视制作视频节目65期，其中《师院新闻》8期，微电影（缤纷校园）12部，专题片、纪录片、街采类综艺节目20部，抖音、快手等短视频50个，受到师生的热情关注，进一步拓展了信息公开的渠道。   </w:t>
      </w:r>
    </w:p>
    <w:p>
      <w:pPr>
        <w:adjustRightInd w:val="0"/>
        <w:snapToGrid w:val="0"/>
        <w:spacing w:line="580" w:lineRule="exact"/>
        <w:ind w:firstLine="562" w:firstLineChars="200"/>
        <w:rPr>
          <w:rFonts w:ascii="楷体_GB2312" w:hAnsi="楷体_GB2312" w:eastAsia="楷体_GB2312" w:cs="楷体_GB2312"/>
          <w:b/>
          <w:bCs/>
          <w:color w:val="000000" w:themeColor="text1"/>
          <w:sz w:val="28"/>
          <w:szCs w:val="28"/>
        </w:rPr>
      </w:pPr>
      <w:r>
        <w:rPr>
          <w:rFonts w:hint="eastAsia" w:ascii="宋体" w:hAnsi="宋体" w:cs="楷体_GB2312"/>
          <w:b/>
          <w:bCs/>
          <w:color w:val="000000" w:themeColor="text1"/>
          <w:sz w:val="28"/>
          <w:szCs w:val="28"/>
        </w:rPr>
        <w:t>（二）招生与就业信息公开情况</w:t>
      </w:r>
    </w:p>
    <w:p>
      <w:pPr>
        <w:adjustRightInd w:val="0"/>
        <w:snapToGrid w:val="0"/>
        <w:spacing w:line="58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我校2020年招生工作按照教育部招生工作规定和“十公开、三十个不得”的要求，坚持“公开选拔、择优录取、以生为本”的原则，深入推进“阳光招生”工程，严格执行教育部及各省招生政策、招生计划，顺利完成各省各类型、各批次的招生录取任务。校内招生宣传平台有校园网、招生网、学校官方微信、湖师招生微信平台、QQ群等，校外招生宣传平台有教育部阳光高考平台、中国教育在线、浙江日报、浙江教育报、浙江省招生考试计划书等。</w:t>
      </w:r>
      <w:r>
        <w:rPr>
          <w:rFonts w:hint="eastAsia" w:ascii="宋体" w:hAnsi="宋体" w:cs="宋体"/>
          <w:color w:val="000000" w:themeColor="text1"/>
          <w:sz w:val="28"/>
          <w:szCs w:val="28"/>
        </w:rPr>
        <w:br w:type="textWrapping"/>
      </w:r>
      <w:r>
        <w:rPr>
          <w:rFonts w:hint="eastAsia" w:ascii="宋体" w:hAnsi="宋体" w:cs="宋体"/>
          <w:color w:val="000000" w:themeColor="text1"/>
          <w:sz w:val="28"/>
          <w:szCs w:val="28"/>
        </w:rPr>
        <w:t xml:space="preserve">    按照教育部及省教育厅要求，我校每年在校园网上向社会公布《毕业生就业质量报告》，利用就业信息网、湖师就业创业中心官方微信平台、QQ群等发布毕业生生源信息，收集并推荐各类招聘信息，积极做好毕业生就业工作。</w:t>
      </w:r>
    </w:p>
    <w:p>
      <w:pPr>
        <w:adjustRightInd w:val="0"/>
        <w:snapToGrid w:val="0"/>
        <w:spacing w:line="580" w:lineRule="exact"/>
        <w:ind w:firstLine="562" w:firstLineChars="200"/>
        <w:rPr>
          <w:rFonts w:ascii="宋体" w:hAnsi="宋体" w:cs="楷体_GB2312"/>
          <w:b/>
          <w:bCs/>
          <w:color w:val="000000" w:themeColor="text1"/>
          <w:sz w:val="28"/>
          <w:szCs w:val="28"/>
        </w:rPr>
      </w:pPr>
      <w:r>
        <w:rPr>
          <w:rFonts w:hint="eastAsia" w:ascii="宋体" w:hAnsi="宋体" w:cs="楷体_GB2312"/>
          <w:b/>
          <w:bCs/>
          <w:color w:val="000000" w:themeColor="text1"/>
          <w:sz w:val="28"/>
          <w:szCs w:val="28"/>
        </w:rPr>
        <w:t>（三）学生奖助信息公开</w:t>
      </w:r>
    </w:p>
    <w:p>
      <w:pPr>
        <w:adjustRightInd w:val="0"/>
        <w:snapToGrid w:val="0"/>
        <w:spacing w:line="58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我校</w:t>
      </w:r>
      <w:r>
        <w:rPr>
          <w:rFonts w:hint="eastAsia" w:ascii="宋体" w:hAnsi="宋体" w:cs="宋体"/>
          <w:sz w:val="28"/>
          <w:szCs w:val="28"/>
        </w:rPr>
        <w:t>对涉及学生奖学金、助学金、勤工助学、学费减免等资助信息进行主动公开，确保学生资助工作的公开、公平、公正、透明。所有校级及以上等级的学生奖助学金，都在校院两级进行公示，其中国家级和省级的奖助学金公示不少于5个工作日，校级奖助学金公示不少于3个工作日。</w:t>
      </w:r>
    </w:p>
    <w:p>
      <w:pPr>
        <w:adjustRightInd w:val="0"/>
        <w:snapToGrid w:val="0"/>
        <w:spacing w:line="580" w:lineRule="exact"/>
        <w:ind w:firstLine="562" w:firstLineChars="200"/>
        <w:rPr>
          <w:rFonts w:ascii="宋体" w:hAnsi="宋体" w:cs="宋体"/>
          <w:color w:val="000000" w:themeColor="text1"/>
          <w:sz w:val="28"/>
          <w:szCs w:val="28"/>
        </w:rPr>
      </w:pPr>
      <w:r>
        <w:rPr>
          <w:rFonts w:hint="eastAsia" w:ascii="宋体" w:hAnsi="宋体" w:cs="楷体_GB2312"/>
          <w:b/>
          <w:bCs/>
          <w:color w:val="000000" w:themeColor="text1"/>
          <w:sz w:val="28"/>
          <w:szCs w:val="28"/>
        </w:rPr>
        <w:t>（四）教学信息公开</w:t>
      </w:r>
    </w:p>
    <w:p>
      <w:pPr>
        <w:adjustRightInd w:val="0"/>
        <w:snapToGrid w:val="0"/>
        <w:spacing w:line="58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教学信息公开以校园网站、微信公众号等平台为主，范围包括：教学制度、学籍信息、专业信息、教学建设项目、实践教学动态、教师技能培训、服务指南等。2019-2020学年，修订《选拔求真学院优秀二年级学生转入校本部学习的实施细则》《在线开放课程学分认定与转换的实施办法（试行）》《本科课程建设与管理办法（试行）》等教学制度。制度制定过程中广泛征求二级学院意见和建议，召开不同层面的意见座谈会，不断加以完善，同时在文件出台后及时做好政策文件的宣传解释。日常教务信息通过网站公告栏、二级学院教务工作群等渠道及时发布。对各级各类教学改革和建设项目实施归口管理，项目的申报通知及评审结果都及时公布于学校网站，真正做到过程公开、结果公开。按照教育部及省教育厅要求，我校每年通过校园网向社会公布《本科教学质量报告》。加强教学质量督查，每学期编辑一期《督导简讯》，及时将督导听课情况、试卷抽查情况、毕业设计（论文）抽查情况等教学信息向学校公布。</w:t>
      </w:r>
    </w:p>
    <w:p>
      <w:pPr>
        <w:adjustRightInd w:val="0"/>
        <w:snapToGrid w:val="0"/>
        <w:spacing w:line="580" w:lineRule="exact"/>
        <w:ind w:firstLine="562" w:firstLineChars="200"/>
        <w:rPr>
          <w:rFonts w:ascii="宋体" w:cs="楷体_GB2312"/>
          <w:b/>
          <w:bCs/>
          <w:color w:val="FF0000"/>
          <w:sz w:val="28"/>
          <w:szCs w:val="28"/>
        </w:rPr>
      </w:pPr>
      <w:r>
        <w:rPr>
          <w:rFonts w:hint="eastAsia" w:ascii="宋体" w:hAnsi="宋体" w:cs="楷体_GB2312"/>
          <w:b/>
          <w:bCs/>
          <w:color w:val="000000" w:themeColor="text1"/>
          <w:sz w:val="28"/>
          <w:szCs w:val="28"/>
        </w:rPr>
        <w:t>（五）干部信息公开情况</w:t>
      </w:r>
    </w:p>
    <w:p>
      <w:pPr>
        <w:adjustRightInd w:val="0"/>
        <w:snapToGrid w:val="0"/>
        <w:spacing w:line="580" w:lineRule="exact"/>
        <w:ind w:firstLine="560"/>
        <w:rPr>
          <w:rFonts w:ascii="宋体" w:hAnsi="宋体" w:cs="宋体"/>
          <w:color w:val="000000" w:themeColor="text1"/>
          <w:sz w:val="28"/>
          <w:szCs w:val="28"/>
        </w:rPr>
      </w:pPr>
      <w:r>
        <w:rPr>
          <w:rFonts w:hint="eastAsia" w:ascii="宋体" w:hAnsi="宋体" w:cs="宋体"/>
          <w:color w:val="000000" w:themeColor="text1"/>
          <w:sz w:val="28"/>
          <w:szCs w:val="28"/>
        </w:rPr>
        <w:t>我校干部工作坚持公开、公正、透明原则。</w:t>
      </w:r>
      <w:r>
        <w:rPr>
          <w:rFonts w:hint="eastAsia" w:ascii="宋体" w:hAnsi="宋体" w:cs="宋体"/>
          <w:b w:val="0"/>
          <w:bCs w:val="0"/>
          <w:color w:val="auto"/>
          <w:sz w:val="28"/>
          <w:szCs w:val="28"/>
          <w:lang w:eastAsia="zh-CN"/>
        </w:rPr>
        <w:t>经过</w:t>
      </w:r>
      <w:r>
        <w:rPr>
          <w:rFonts w:hint="eastAsia" w:ascii="宋体" w:hAnsi="宋体" w:cs="宋体"/>
          <w:b w:val="0"/>
          <w:bCs w:val="0"/>
          <w:color w:val="auto"/>
          <w:sz w:val="28"/>
          <w:szCs w:val="28"/>
          <w:highlight w:val="none"/>
          <w:lang w:eastAsia="zh-CN"/>
        </w:rPr>
        <w:t>充分调研酝酿讨论形成选拔方案后，依规组织民主推荐、竞聘选拔等工作。</w:t>
      </w:r>
      <w:r>
        <w:rPr>
          <w:rFonts w:hint="eastAsia" w:ascii="宋体" w:hAnsi="宋体" w:cs="宋体"/>
          <w:color w:val="000000" w:themeColor="text1"/>
          <w:sz w:val="28"/>
          <w:szCs w:val="28"/>
        </w:rPr>
        <w:t>通过会议文件、校园网等形式面向全校公布岗位职数、任职资格条件、选拔办法、相关政策要求等。确定考察人员名单后，及时发布考察预告，考察期间，由所在党组织出具政治鉴定，以书面形式征求校纪委对拟提任干部的意见并出具廉政鉴定材料。党委决定拟任人选时，实行票决制，并进行任前公示和公告。竞聘选拔面试时，学校设专人监督，监督员从校纪检监察干部、特邀监察员代表中产生。选拔内容公开、过程透明、纪委全程监督参与。</w:t>
      </w:r>
    </w:p>
    <w:p>
      <w:pPr>
        <w:adjustRightInd w:val="0"/>
        <w:snapToGrid w:val="0"/>
        <w:spacing w:line="580" w:lineRule="exact"/>
        <w:ind w:firstLine="570"/>
        <w:rPr>
          <w:rFonts w:ascii="宋体" w:cs="楷体_GB2312"/>
          <w:b/>
          <w:bCs/>
          <w:color w:val="FF0000"/>
          <w:sz w:val="28"/>
          <w:szCs w:val="28"/>
        </w:rPr>
      </w:pPr>
      <w:r>
        <w:rPr>
          <w:rFonts w:hint="eastAsia" w:ascii="宋体" w:hAnsi="宋体" w:cs="楷体_GB2312"/>
          <w:b/>
          <w:bCs/>
          <w:color w:val="000000" w:themeColor="text1"/>
          <w:sz w:val="28"/>
          <w:szCs w:val="28"/>
        </w:rPr>
        <w:t>（六）人事信息公开情况</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我校人事工作始终坚持公开、规范、有序，注重实效。</w:t>
      </w:r>
      <w:r>
        <w:rPr>
          <w:rFonts w:hint="eastAsia" w:ascii="宋体" w:hAnsi="宋体" w:cs="宋体"/>
          <w:b/>
          <w:sz w:val="28"/>
          <w:szCs w:val="28"/>
        </w:rPr>
        <w:t>一是人才引进及招聘程序规范公开。</w:t>
      </w:r>
      <w:r>
        <w:rPr>
          <w:rFonts w:hint="eastAsia" w:ascii="宋体" w:hAnsi="宋体" w:cs="宋体"/>
          <w:sz w:val="28"/>
          <w:szCs w:val="28"/>
        </w:rPr>
        <w:t>规范人才引进程序，严格按照我校《高层次人才引进管理办法》规定的程序进行，开展网络化管理；工作人员的招聘纳入湖州市事业单位公开招聘系统，按照事业单位公开招聘相关规定执行。拟聘用人员均通过湖州人才网、学校网站及其渠道向全社会公开，接收社会监督。</w:t>
      </w:r>
      <w:r>
        <w:rPr>
          <w:rFonts w:hint="eastAsia" w:ascii="宋体" w:hAnsi="宋体" w:cs="宋体"/>
          <w:b/>
          <w:sz w:val="28"/>
          <w:szCs w:val="28"/>
        </w:rPr>
        <w:t>二是人事工作透明。</w:t>
      </w:r>
      <w:r>
        <w:rPr>
          <w:rFonts w:hint="eastAsia" w:ascii="宋体" w:hAnsi="宋体" w:cs="宋体"/>
          <w:sz w:val="28"/>
          <w:szCs w:val="28"/>
        </w:rPr>
        <w:t>对涉及教职工切身利益、关注度较高的有关事项，如教师读博访学、人才项目申报、职级晋升等，第一时间通过校园网、</w:t>
      </w:r>
      <w:r>
        <w:rPr>
          <w:rFonts w:ascii="宋体" w:hAnsi="宋体" w:cs="宋体"/>
          <w:sz w:val="28"/>
          <w:szCs w:val="28"/>
        </w:rPr>
        <w:t>QQ</w:t>
      </w:r>
      <w:r>
        <w:rPr>
          <w:rFonts w:hint="eastAsia" w:ascii="宋体" w:hAnsi="宋体" w:cs="宋体"/>
          <w:sz w:val="28"/>
          <w:szCs w:val="28"/>
        </w:rPr>
        <w:t>群发布信息，提醒相关人员及时申报，并严格按照公布的程序流程开展工作，在正式确定相关人员前进行校内公示；专业技术职务评聘中，召开专业技术职务评聘工作咨询会，让广大教职工了解和熟悉相关政策和程序，做到评前公示、评后公示，确保过程公开、公正。三</w:t>
      </w:r>
      <w:r>
        <w:rPr>
          <w:rFonts w:hint="eastAsia" w:ascii="宋体" w:hAnsi="宋体" w:cs="宋体"/>
          <w:b/>
          <w:sz w:val="28"/>
          <w:szCs w:val="28"/>
        </w:rPr>
        <w:t>是人事制度公开。</w:t>
      </w:r>
      <w:r>
        <w:rPr>
          <w:rFonts w:hint="eastAsia" w:ascii="宋体" w:hAnsi="宋体" w:cs="宋体"/>
          <w:sz w:val="28"/>
          <w:szCs w:val="28"/>
        </w:rPr>
        <w:t>持续完善网站建设，将最新的人事制度及时更新和完善，实时更新人才信息；通过</w:t>
      </w:r>
      <w:r>
        <w:rPr>
          <w:rFonts w:ascii="宋体" w:hAnsi="宋体" w:cs="宋体"/>
          <w:sz w:val="28"/>
          <w:szCs w:val="28"/>
        </w:rPr>
        <w:t>QQ</w:t>
      </w:r>
      <w:r>
        <w:rPr>
          <w:rFonts w:hint="eastAsia" w:ascii="宋体" w:hAnsi="宋体" w:cs="宋体"/>
          <w:sz w:val="28"/>
          <w:szCs w:val="28"/>
        </w:rPr>
        <w:t>、微信等建立人事管理群、人才项目申报群、岗位设置与聘用管理群等，与教师进行网上交流互动，促进双向沟通。</w:t>
      </w:r>
    </w:p>
    <w:p>
      <w:pPr>
        <w:adjustRightInd w:val="0"/>
        <w:snapToGrid w:val="0"/>
        <w:spacing w:line="580" w:lineRule="exact"/>
        <w:ind w:firstLine="562" w:firstLineChars="200"/>
        <w:rPr>
          <w:rFonts w:ascii="宋体" w:hAnsi="宋体" w:cs="楷体_GB2312"/>
          <w:b/>
          <w:bCs/>
          <w:color w:val="000000" w:themeColor="text1"/>
          <w:sz w:val="28"/>
          <w:szCs w:val="28"/>
        </w:rPr>
      </w:pPr>
      <w:r>
        <w:rPr>
          <w:rFonts w:hint="eastAsia" w:ascii="宋体" w:hAnsi="宋体" w:cs="楷体_GB2312"/>
          <w:b/>
          <w:bCs/>
          <w:color w:val="000000" w:themeColor="text1"/>
          <w:sz w:val="28"/>
          <w:szCs w:val="28"/>
        </w:rPr>
        <w:t>（七）科研信息公开</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我校科研部门对各级各类科研（含科技创新人才）项目实施归口管理，项目申报通知、评审结果都及时公布于学校网站，同时在项目评审过程中充分征求校科研委员会意见，真正做到过程公开、结果公开；在科研奖项评审前，先做到评审材料的校网公示，待公示无异议后，再开展专家会评工作。在科技成果转化等方面，坚持做到转化前和转化后双公示制度，确保科技成果转化的公开透明。加强科研管理部门网站建设，将最新的工作岗位分工、工作流程、制度文件予以发布，提高工作事项办理的透明度。加强文件制定过程的意见征求工作，修订《教师挂职管理办法》《省重点实验室开放课题基金管理办法》等文件。同时，认真贯彻落实《科研经费使用信息公开办法》，学校所有纵向和横向科研项目经费都定期实行信息公开，学校网站首页设置“信息公开”和“高校科研经费使用信息公开”专栏，并在部门网站也同时发布该项信息，多方位、多途径加大信息公开力度，坚持客观真实、民主公开。</w:t>
      </w:r>
    </w:p>
    <w:p>
      <w:pPr>
        <w:adjustRightInd w:val="0"/>
        <w:snapToGrid w:val="0"/>
        <w:spacing w:line="580" w:lineRule="exact"/>
        <w:rPr>
          <w:rFonts w:ascii="宋体" w:hAnsi="宋体" w:cs="楷体_GB2312"/>
          <w:b/>
          <w:bCs/>
          <w:color w:val="FF0000"/>
          <w:sz w:val="28"/>
          <w:szCs w:val="28"/>
        </w:rPr>
      </w:pPr>
      <w:r>
        <w:rPr>
          <w:rFonts w:ascii="宋体" w:hAnsi="宋体" w:cs="宋体"/>
          <w:color w:val="000000" w:themeColor="text1"/>
          <w:sz w:val="28"/>
          <w:szCs w:val="28"/>
        </w:rPr>
        <w:t xml:space="preserve"> </w:t>
      </w:r>
      <w:r>
        <w:rPr>
          <w:rFonts w:hint="eastAsia" w:ascii="宋体" w:hAnsi="宋体" w:cs="楷体_GB2312"/>
          <w:b/>
          <w:bCs/>
          <w:color w:val="000000" w:themeColor="text1"/>
          <w:sz w:val="28"/>
          <w:szCs w:val="28"/>
        </w:rPr>
        <w:t xml:space="preserve">  （八）财务信息公开</w:t>
      </w:r>
    </w:p>
    <w:p>
      <w:pPr>
        <w:adjustRightInd w:val="0"/>
        <w:snapToGrid w:val="0"/>
        <w:spacing w:line="58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我校严格执行上级批准的行政事业性收费项目标准，其各收费项目和收费标准依据在校园网、收费处、新生入学须知告知；根据上级财政部门要求，严格执行学校年度预决算报表公开制度，并在湖州市政府门户网站上和学校事业单位法人年度报告中公开；建立多渠道信息发布，同步更新至部门公众号、门户网站等媒体。2020年公办本科高校学分制收费标准更新发布在学校财务收费公示栏中。</w:t>
      </w:r>
    </w:p>
    <w:p>
      <w:pPr>
        <w:adjustRightInd w:val="0"/>
        <w:snapToGrid w:val="0"/>
        <w:spacing w:line="580" w:lineRule="exact"/>
        <w:ind w:firstLine="562" w:firstLineChars="200"/>
        <w:rPr>
          <w:rFonts w:ascii="楷体_GB2312" w:hAnsi="楷体_GB2312" w:eastAsia="楷体_GB2312" w:cs="楷体_GB2312"/>
          <w:b/>
          <w:bCs/>
          <w:color w:val="FF0000"/>
          <w:sz w:val="28"/>
          <w:szCs w:val="28"/>
        </w:rPr>
      </w:pPr>
      <w:r>
        <w:rPr>
          <w:rFonts w:hint="eastAsia" w:ascii="宋体" w:hAnsi="宋体" w:cs="楷体_GB2312"/>
          <w:b/>
          <w:bCs/>
          <w:color w:val="000000" w:themeColor="text1"/>
          <w:sz w:val="28"/>
          <w:szCs w:val="28"/>
        </w:rPr>
        <w:t>（九）采购管理信息公开</w:t>
      </w:r>
    </w:p>
    <w:p>
      <w:pPr>
        <w:adjustRightInd w:val="0"/>
        <w:snapToGrid w:val="0"/>
        <w:spacing w:line="58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采购管理中心负责全校采购管理工作，根据国家法律法规和学校规章制度依法依规组织采购，根据采购项目的不同情况，分别在我校采购管理中心网站、湖州市公共资源交易信息网、浙江政府采购网和浙江省政府采购电子卖场“政采云”平台公布相关采购信息，包括采购公告、采购文件、中标公告等信息。根据学校规定，就限额标准预算5万元以下的授权分散采购货物、服务、工程类（修缮工程）项目在我校采购管理中心网站进行公示。</w:t>
      </w:r>
    </w:p>
    <w:p>
      <w:pPr>
        <w:adjustRightInd w:val="0"/>
        <w:snapToGrid w:val="0"/>
        <w:spacing w:line="580" w:lineRule="exact"/>
        <w:rPr>
          <w:rFonts w:ascii="黑体" w:hAnsi="黑体" w:eastAsia="黑体" w:cs="黑体"/>
          <w:b/>
          <w:color w:val="000000" w:themeColor="text1"/>
          <w:sz w:val="28"/>
          <w:szCs w:val="28"/>
        </w:rPr>
      </w:pPr>
      <w:r>
        <w:rPr>
          <w:rFonts w:ascii="黑体" w:hAnsi="黑体" w:eastAsia="黑体" w:cs="黑体"/>
          <w:color w:val="000000" w:themeColor="text1"/>
          <w:sz w:val="28"/>
          <w:szCs w:val="28"/>
        </w:rPr>
        <w:t xml:space="preserve">   </w:t>
      </w:r>
      <w:r>
        <w:rPr>
          <w:rFonts w:ascii="黑体" w:hAnsi="黑体" w:eastAsia="黑体" w:cs="黑体"/>
          <w:b/>
          <w:color w:val="000000" w:themeColor="text1"/>
          <w:sz w:val="28"/>
          <w:szCs w:val="28"/>
        </w:rPr>
        <w:t xml:space="preserve"> </w:t>
      </w:r>
      <w:r>
        <w:rPr>
          <w:rFonts w:hint="eastAsia" w:ascii="黑体" w:hAnsi="黑体" w:eastAsia="黑体" w:cs="黑体"/>
          <w:b/>
          <w:color w:val="000000" w:themeColor="text1"/>
          <w:sz w:val="28"/>
          <w:szCs w:val="28"/>
        </w:rPr>
        <w:t>三、依申请公开和不予公开情况</w:t>
      </w:r>
    </w:p>
    <w:p>
      <w:pPr>
        <w:adjustRightInd w:val="0"/>
        <w:snapToGrid w:val="0"/>
        <w:spacing w:line="580" w:lineRule="exact"/>
        <w:ind w:firstLine="560"/>
        <w:rPr>
          <w:rFonts w:ascii="宋体" w:hAnsi="宋体" w:cs="宋体"/>
          <w:color w:val="000000" w:themeColor="text1"/>
          <w:sz w:val="28"/>
          <w:szCs w:val="28"/>
        </w:rPr>
      </w:pPr>
      <w:r>
        <w:rPr>
          <w:rFonts w:hint="eastAsia" w:ascii="宋体" w:hAnsi="宋体" w:cs="宋体"/>
          <w:color w:val="000000" w:themeColor="text1"/>
          <w:sz w:val="28"/>
          <w:szCs w:val="28"/>
        </w:rPr>
        <w:t>2019-2020学年，学校未收到信息公开申请。</w:t>
      </w:r>
    </w:p>
    <w:p>
      <w:pPr>
        <w:adjustRightInd w:val="0"/>
        <w:snapToGrid w:val="0"/>
        <w:spacing w:line="580" w:lineRule="exact"/>
        <w:ind w:firstLine="562" w:firstLineChars="200"/>
        <w:rPr>
          <w:rFonts w:ascii="黑体" w:hAnsi="黑体" w:eastAsia="黑体" w:cs="黑体"/>
          <w:b/>
          <w:color w:val="000000" w:themeColor="text1"/>
          <w:sz w:val="28"/>
          <w:szCs w:val="28"/>
        </w:rPr>
      </w:pPr>
      <w:r>
        <w:rPr>
          <w:rFonts w:hint="eastAsia" w:ascii="黑体" w:hAnsi="黑体" w:eastAsia="黑体" w:cs="黑体"/>
          <w:b/>
          <w:color w:val="000000" w:themeColor="text1"/>
          <w:sz w:val="28"/>
          <w:szCs w:val="28"/>
        </w:rPr>
        <w:t>四、对信息公开的评议情况</w:t>
      </w:r>
    </w:p>
    <w:p>
      <w:pPr>
        <w:adjustRightInd w:val="0"/>
        <w:snapToGrid w:val="0"/>
        <w:spacing w:line="580" w:lineRule="exact"/>
        <w:ind w:firstLine="560"/>
        <w:rPr>
          <w:rFonts w:ascii="宋体" w:cs="宋体"/>
          <w:color w:val="000000" w:themeColor="text1"/>
          <w:sz w:val="28"/>
          <w:szCs w:val="28"/>
        </w:rPr>
      </w:pPr>
      <w:r>
        <w:rPr>
          <w:rFonts w:hint="eastAsia" w:ascii="宋体" w:hAnsi="宋体" w:cs="宋体"/>
          <w:color w:val="000000" w:themeColor="text1"/>
          <w:sz w:val="28"/>
          <w:szCs w:val="28"/>
        </w:rPr>
        <w:t>本年度，我校师生对学校信息公开工作给予了普遍认可和肯定，未出现因学校信息公开工作遭到举报、复议、诉讼的情况。</w:t>
      </w:r>
    </w:p>
    <w:p>
      <w:pPr>
        <w:adjustRightInd w:val="0"/>
        <w:snapToGrid w:val="0"/>
        <w:spacing w:line="580" w:lineRule="exact"/>
        <w:ind w:firstLine="562" w:firstLineChars="200"/>
        <w:rPr>
          <w:rFonts w:ascii="黑体" w:hAnsi="黑体" w:eastAsia="黑体" w:cs="黑体"/>
          <w:b/>
          <w:color w:val="000000" w:themeColor="text1"/>
          <w:sz w:val="28"/>
          <w:szCs w:val="28"/>
        </w:rPr>
      </w:pPr>
      <w:r>
        <w:rPr>
          <w:rFonts w:hint="eastAsia" w:ascii="黑体" w:hAnsi="黑体" w:eastAsia="黑体" w:cs="黑体"/>
          <w:b/>
          <w:color w:val="000000" w:themeColor="text1"/>
          <w:sz w:val="28"/>
          <w:szCs w:val="28"/>
        </w:rPr>
        <w:t>五、存在的主要问题和改进措施</w:t>
      </w:r>
    </w:p>
    <w:p>
      <w:pPr>
        <w:adjustRightInd w:val="0"/>
        <w:snapToGrid w:val="0"/>
        <w:spacing w:line="580" w:lineRule="exact"/>
        <w:ind w:firstLine="560"/>
        <w:rPr>
          <w:rFonts w:ascii="宋体" w:hAnsi="宋体" w:cs="宋体"/>
          <w:color w:val="000000" w:themeColor="text1"/>
          <w:sz w:val="28"/>
          <w:szCs w:val="28"/>
        </w:rPr>
      </w:pPr>
      <w:r>
        <w:rPr>
          <w:rFonts w:hint="eastAsia" w:ascii="宋体" w:hAnsi="宋体" w:cs="宋体"/>
          <w:color w:val="000000" w:themeColor="text1"/>
          <w:sz w:val="28"/>
          <w:szCs w:val="28"/>
        </w:rPr>
        <w:t>2019-2020学年，学校在信息公开工作上取得了明显成效，但与上级要求相比，还存在一定的差距。在今后的工作中，要从以下几方面努力：</w:t>
      </w:r>
    </w:p>
    <w:p>
      <w:pPr>
        <w:adjustRightInd w:val="0"/>
        <w:snapToGrid w:val="0"/>
        <w:spacing w:line="580" w:lineRule="exact"/>
        <w:ind w:firstLine="562"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（一）加强工作队伍培训</w:t>
      </w:r>
    </w:p>
    <w:p>
      <w:pPr>
        <w:adjustRightInd w:val="0"/>
        <w:snapToGrid w:val="0"/>
        <w:spacing w:line="58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积极开展二级单位办公室主任培训会议，对信息公开工作扩大宣传解释，提高二级单位对信息公开工作重要性的认识。同时加强信息公开有关法律法规、上级文件政策的学习，加强和兄弟院校的交流，进一步提升工作队伍的业务能力和工作水平。</w:t>
      </w:r>
    </w:p>
    <w:p>
      <w:pPr>
        <w:adjustRightInd w:val="0"/>
        <w:snapToGrid w:val="0"/>
        <w:spacing w:line="580" w:lineRule="exact"/>
        <w:ind w:firstLine="562"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（二）突出信息公开关键领域</w:t>
      </w:r>
    </w:p>
    <w:p>
      <w:pPr>
        <w:adjustRightInd w:val="0"/>
        <w:snapToGrid w:val="0"/>
        <w:spacing w:line="580" w:lineRule="exact"/>
        <w:ind w:firstLine="560" w:firstLineChars="200"/>
        <w:rPr>
          <w:rFonts w:ascii="宋体" w:cs="宋体"/>
          <w:color w:val="000000" w:themeColor="text1"/>
          <w:sz w:val="28"/>
          <w:szCs w:val="28"/>
        </w:rPr>
      </w:pPr>
      <w:r>
        <w:rPr>
          <w:rFonts w:hint="eastAsia" w:ascii="宋体" w:hAnsi="宋体" w:cs="宋体"/>
          <w:color w:val="000000" w:themeColor="text1"/>
          <w:sz w:val="28"/>
          <w:szCs w:val="28"/>
        </w:rPr>
        <w:t>根据学校发展变化和信息公开工作的实际，不断丰富信息公开内容，做好动态更新。对关键领域工作进一步梳理、分类，深入推进招生、人事、财务、资产管理等信息公开工作，加大对涉及学校师生切身利益和社会关注度高的事项的信息公开力度，利用好相关公开渠道实时发布、更新主动公开的信息内容。</w:t>
      </w:r>
    </w:p>
    <w:p>
      <w:pPr>
        <w:adjustRightInd w:val="0"/>
        <w:snapToGrid w:val="0"/>
        <w:spacing w:line="580" w:lineRule="exact"/>
        <w:ind w:firstLine="562"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（三）提高信息公开信息化水平</w:t>
      </w:r>
    </w:p>
    <w:p>
      <w:pPr>
        <w:adjustRightInd w:val="0"/>
        <w:snapToGrid w:val="0"/>
        <w:spacing w:line="520" w:lineRule="exact"/>
        <w:ind w:firstLine="560"/>
        <w:rPr>
          <w:rFonts w:ascii="宋体" w:hAnsi="宋体" w:cs="宋体"/>
          <w:color w:val="000000" w:themeColor="text1"/>
          <w:sz w:val="28"/>
          <w:szCs w:val="28"/>
        </w:rPr>
      </w:pPr>
      <w:r>
        <w:rPr>
          <w:rFonts w:hint="eastAsia" w:ascii="宋体" w:hAnsi="宋体" w:cs="宋体"/>
          <w:color w:val="000000" w:themeColor="text1"/>
          <w:sz w:val="28"/>
          <w:szCs w:val="28"/>
        </w:rPr>
        <w:t>利用现代信息技术，完善校园网和信息公开栏目建设，加强二级单位网站和校园网等不同平台之间的互动兼容，拓展信息发布渠道，加强信息发布、解读和回应工作。</w:t>
      </w:r>
    </w:p>
    <w:p>
      <w:pPr>
        <w:adjustRightInd w:val="0"/>
        <w:snapToGrid w:val="0"/>
        <w:spacing w:line="520" w:lineRule="exact"/>
        <w:ind w:firstLine="560" w:firstLineChars="200"/>
        <w:rPr>
          <w:rFonts w:ascii="宋体" w:hAnsi="宋体" w:cs="宋体"/>
          <w:color w:val="000000" w:themeColor="text1"/>
          <w:sz w:val="28"/>
          <w:szCs w:val="28"/>
        </w:rPr>
      </w:pPr>
    </w:p>
    <w:p>
      <w:pPr>
        <w:widowControl/>
        <w:adjustRightInd w:val="0"/>
        <w:snapToGrid w:val="0"/>
        <w:spacing w:line="540" w:lineRule="exact"/>
        <w:ind w:firstLine="555"/>
        <w:jc w:val="left"/>
        <w:rPr>
          <w:rFonts w:ascii="宋体" w:cs="宋体"/>
          <w:color w:val="000000" w:themeColor="text1"/>
          <w:sz w:val="28"/>
          <w:szCs w:val="28"/>
          <w:shd w:val="clear" w:color="auto" w:fill="FFFFFF"/>
        </w:rPr>
      </w:pPr>
      <w:r>
        <w:rPr>
          <w:rFonts w:hint="eastAsia" w:ascii="宋体" w:hAnsi="宋体" w:cs="宋体"/>
          <w:color w:val="000000" w:themeColor="text1"/>
          <w:sz w:val="28"/>
          <w:szCs w:val="28"/>
          <w:shd w:val="clear" w:color="auto" w:fill="FFFFFF"/>
        </w:rPr>
        <w:t>附件：清单事项公开情况表</w:t>
      </w:r>
    </w:p>
    <w:p>
      <w:pPr>
        <w:widowControl/>
        <w:adjustRightInd w:val="0"/>
        <w:snapToGrid w:val="0"/>
        <w:spacing w:line="540" w:lineRule="exact"/>
        <w:ind w:firstLine="555"/>
        <w:jc w:val="left"/>
        <w:rPr>
          <w:rFonts w:ascii="宋体" w:cs="宋体"/>
          <w:sz w:val="28"/>
          <w:szCs w:val="28"/>
          <w:shd w:val="clear" w:color="auto" w:fill="FFFFFF"/>
        </w:rPr>
      </w:pPr>
      <w:r>
        <w:rPr>
          <w:rFonts w:ascii="宋体" w:hAnsi="宋体" w:cs="宋体"/>
          <w:sz w:val="28"/>
          <w:szCs w:val="28"/>
          <w:shd w:val="clear" w:color="auto" w:fill="FFFFFF"/>
        </w:rPr>
        <w:t xml:space="preserve">                                        </w:t>
      </w:r>
      <w:r>
        <w:rPr>
          <w:rFonts w:hint="eastAsia" w:ascii="宋体" w:hAnsi="宋体" w:cs="宋体"/>
          <w:sz w:val="28"/>
          <w:szCs w:val="28"/>
          <w:shd w:val="clear" w:color="auto" w:fill="FFFFFF"/>
        </w:rPr>
        <w:t>湖州师范学院</w:t>
      </w:r>
    </w:p>
    <w:p>
      <w:pPr>
        <w:widowControl/>
        <w:adjustRightInd w:val="0"/>
        <w:snapToGrid w:val="0"/>
        <w:spacing w:line="540" w:lineRule="exact"/>
        <w:ind w:firstLine="555"/>
        <w:jc w:val="left"/>
        <w:rPr>
          <w:rFonts w:ascii="宋体" w:cs="宋体"/>
          <w:sz w:val="28"/>
          <w:szCs w:val="28"/>
          <w:shd w:val="clear" w:color="auto" w:fill="FFFFFF"/>
        </w:rPr>
        <w:sectPr>
          <w:headerReference r:id="rId3" w:type="default"/>
          <w:footerReference r:id="rId4" w:type="default"/>
          <w:pgSz w:w="11906" w:h="16838"/>
          <w:pgMar w:top="1440" w:right="1803" w:bottom="1440" w:left="1803" w:header="851" w:footer="992" w:gutter="0"/>
          <w:cols w:space="720" w:num="1"/>
          <w:docGrid w:type="lines" w:linePitch="319" w:charSpace="0"/>
        </w:sectPr>
      </w:pPr>
      <w:r>
        <w:rPr>
          <w:rFonts w:ascii="宋体" w:hAnsi="宋体" w:cs="宋体"/>
          <w:sz w:val="28"/>
          <w:szCs w:val="28"/>
          <w:shd w:val="clear" w:color="auto" w:fill="FFFFFF"/>
        </w:rPr>
        <w:t xml:space="preserve">                          </w:t>
      </w:r>
      <w:bookmarkStart w:id="0" w:name="_GoBack"/>
      <w:bookmarkEnd w:id="0"/>
      <w:r>
        <w:rPr>
          <w:rFonts w:ascii="宋体" w:hAnsi="宋体" w:cs="宋体"/>
          <w:sz w:val="28"/>
          <w:szCs w:val="28"/>
          <w:shd w:val="clear" w:color="auto" w:fill="FFFFFF"/>
        </w:rPr>
        <w:t xml:space="preserve">            20</w:t>
      </w:r>
      <w:r>
        <w:rPr>
          <w:rFonts w:hint="eastAsia" w:ascii="宋体" w:hAnsi="宋体" w:cs="宋体"/>
          <w:sz w:val="28"/>
          <w:szCs w:val="28"/>
          <w:shd w:val="clear" w:color="auto" w:fill="FFFFFF"/>
        </w:rPr>
        <w:t>20年</w:t>
      </w:r>
      <w:r>
        <w:rPr>
          <w:rFonts w:ascii="宋体" w:hAnsi="宋体" w:cs="宋体"/>
          <w:sz w:val="28"/>
          <w:szCs w:val="28"/>
          <w:shd w:val="clear" w:color="auto" w:fill="FFFFFF"/>
        </w:rPr>
        <w:t>1</w:t>
      </w:r>
      <w:r>
        <w:rPr>
          <w:rFonts w:hint="eastAsia" w:ascii="宋体" w:hAnsi="宋体" w:cs="宋体"/>
          <w:sz w:val="28"/>
          <w:szCs w:val="28"/>
          <w:shd w:val="clear" w:color="auto" w:fill="FFFFFF"/>
        </w:rPr>
        <w:t>0月</w:t>
      </w:r>
      <w:r>
        <w:rPr>
          <w:rFonts w:hint="eastAsia" w:ascii="宋体" w:hAnsi="宋体" w:cs="宋体"/>
          <w:sz w:val="28"/>
          <w:szCs w:val="28"/>
          <w:shd w:val="clear" w:color="auto" w:fill="FFFFFF"/>
          <w:lang w:val="en-US" w:eastAsia="zh-CN"/>
        </w:rPr>
        <w:t>30</w:t>
      </w:r>
      <w:r>
        <w:rPr>
          <w:rFonts w:hint="eastAsia" w:ascii="宋体" w:hAnsi="宋体" w:cs="宋体"/>
          <w:sz w:val="28"/>
          <w:szCs w:val="28"/>
          <w:shd w:val="clear" w:color="auto" w:fill="FFFFFF"/>
        </w:rPr>
        <w:t>日</w:t>
      </w:r>
    </w:p>
    <w:p>
      <w:pPr>
        <w:jc w:val="left"/>
        <w:rPr>
          <w:sz w:val="30"/>
          <w:szCs w:val="30"/>
        </w:rPr>
      </w:pPr>
      <w:r>
        <w:rPr>
          <w:rFonts w:hint="eastAsia" w:ascii="宋体" w:hAnsi="宋体" w:cs="宋体"/>
          <w:sz w:val="28"/>
          <w:szCs w:val="28"/>
          <w:shd w:val="clear" w:color="auto" w:fill="FFFFFF"/>
        </w:rPr>
        <w:t>附件</w:t>
      </w:r>
    </w:p>
    <w:p>
      <w:pPr>
        <w:jc w:val="center"/>
        <w:rPr>
          <w:b/>
          <w:bCs/>
          <w:sz w:val="30"/>
          <w:szCs w:val="30"/>
        </w:rPr>
      </w:pPr>
      <w:r>
        <w:rPr>
          <w:rFonts w:hint="eastAsia"/>
          <w:b/>
          <w:bCs/>
          <w:sz w:val="30"/>
          <w:szCs w:val="30"/>
        </w:rPr>
        <w:t>清单事项公开情况表</w:t>
      </w:r>
    </w:p>
    <w:tbl>
      <w:tblPr>
        <w:tblStyle w:val="9"/>
        <w:tblW w:w="1325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53"/>
        <w:gridCol w:w="1395"/>
        <w:gridCol w:w="6390"/>
        <w:gridCol w:w="49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12" w:hRule="exac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b/>
                <w:kern w:val="0"/>
                <w:szCs w:val="21"/>
              </w:rPr>
              <w:t>序号</w:t>
            </w:r>
          </w:p>
        </w:tc>
        <w:tc>
          <w:tcPr>
            <w:tcW w:w="1395"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b/>
                <w:kern w:val="0"/>
                <w:szCs w:val="21"/>
              </w:rPr>
              <w:t>类</w:t>
            </w:r>
            <w:r>
              <w:rPr>
                <w:rFonts w:ascii="宋体" w:hAnsi="宋体" w:cs="宋体"/>
                <w:b/>
                <w:kern w:val="0"/>
                <w:szCs w:val="21"/>
              </w:rPr>
              <w:t xml:space="preserve"> </w:t>
            </w:r>
            <w:r>
              <w:rPr>
                <w:rFonts w:hint="eastAsia" w:ascii="宋体" w:hAnsi="宋体" w:cs="宋体"/>
                <w:b/>
                <w:kern w:val="0"/>
                <w:szCs w:val="21"/>
              </w:rPr>
              <w:t>别</w:t>
            </w:r>
          </w:p>
        </w:tc>
        <w:tc>
          <w:tcPr>
            <w:tcW w:w="6390"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b/>
                <w:kern w:val="0"/>
                <w:szCs w:val="21"/>
              </w:rPr>
              <w:t>公开事项</w:t>
            </w:r>
          </w:p>
        </w:tc>
        <w:tc>
          <w:tcPr>
            <w:tcW w:w="4917"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b/>
                <w:bCs/>
                <w:szCs w:val="21"/>
              </w:rPr>
              <w:t>公开网址（链接）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12"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Merge w:val="continue"/>
            <w:vAlign w:val="center"/>
          </w:tcPr>
          <w:p>
            <w:pPr>
              <w:adjustRightInd w:val="0"/>
              <w:snapToGrid w:val="0"/>
              <w:spacing w:line="240" w:lineRule="exact"/>
              <w:jc w:val="center"/>
              <w:rPr>
                <w:rFonts w:ascii="宋体" w:cs="宋体"/>
                <w:szCs w:val="21"/>
              </w:rPr>
            </w:pPr>
          </w:p>
        </w:tc>
        <w:tc>
          <w:tcPr>
            <w:tcW w:w="4917" w:type="dxa"/>
            <w:vMerge w:val="continue"/>
            <w:vAlign w:val="center"/>
          </w:tcPr>
          <w:p>
            <w:pPr>
              <w:adjustRightInd w:val="0"/>
              <w:snapToGrid w:val="0"/>
              <w:spacing w:line="240" w:lineRule="exact"/>
              <w:jc w:val="center"/>
              <w:rPr>
                <w:rFonts w:ascii="宋体" w:cs="宋体"/>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ascii="宋体" w:hAnsi="宋体" w:cs="宋体"/>
                <w:kern w:val="0"/>
                <w:szCs w:val="21"/>
              </w:rPr>
              <w:t>1</w:t>
            </w:r>
          </w:p>
        </w:tc>
        <w:tc>
          <w:tcPr>
            <w:tcW w:w="1395"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基本信息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项）</w:t>
            </w: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）办学规模、校级领导班子简介及分工、学校机构设置、学科情况、专业情况、各类在校生情况、教师和专业技术人员数量等办学基本情况</w:t>
            </w:r>
          </w:p>
        </w:tc>
        <w:tc>
          <w:tcPr>
            <w:tcW w:w="4917" w:type="dxa"/>
            <w:vAlign w:val="center"/>
          </w:tcPr>
          <w:p>
            <w:pPr>
              <w:adjustRightInd w:val="0"/>
              <w:snapToGrid w:val="0"/>
              <w:spacing w:line="240" w:lineRule="exact"/>
              <w:jc w:val="center"/>
              <w:rPr>
                <w:szCs w:val="22"/>
              </w:rPr>
            </w:pPr>
            <w:r>
              <w:rPr>
                <w:rFonts w:hint="eastAsia"/>
                <w:szCs w:val="22"/>
              </w:rPr>
              <w:t>学校概况：</w:t>
            </w:r>
            <w:r>
              <w:rPr>
                <w:szCs w:val="22"/>
              </w:rPr>
              <w:t>http://www.zjhu.edu.cn/page/1.html</w:t>
            </w:r>
          </w:p>
          <w:p>
            <w:pPr>
              <w:adjustRightInd w:val="0"/>
              <w:snapToGrid w:val="0"/>
              <w:spacing w:line="240" w:lineRule="exact"/>
              <w:jc w:val="center"/>
              <w:rPr>
                <w:szCs w:val="22"/>
              </w:rPr>
            </w:pPr>
            <w:r>
              <w:rPr>
                <w:rFonts w:hint="eastAsia"/>
                <w:szCs w:val="22"/>
              </w:rPr>
              <w:t>领导班子简介及分工：</w:t>
            </w:r>
            <w:r>
              <w:rPr>
                <w:szCs w:val="22"/>
              </w:rPr>
              <w:t>http://www.zjhu.edu.cn/plug/lingdao.html</w:t>
            </w:r>
          </w:p>
          <w:p>
            <w:pPr>
              <w:adjustRightInd w:val="0"/>
              <w:snapToGrid w:val="0"/>
              <w:spacing w:line="240" w:lineRule="exact"/>
              <w:jc w:val="center"/>
              <w:rPr>
                <w:szCs w:val="22"/>
              </w:rPr>
            </w:pPr>
            <w:r>
              <w:rPr>
                <w:rFonts w:hint="eastAsia"/>
                <w:szCs w:val="22"/>
              </w:rPr>
              <w:t>学校机构设置：</w:t>
            </w:r>
            <w:r>
              <w:rPr>
                <w:szCs w:val="22"/>
              </w:rPr>
              <w:t>http://www.zjhu.edu.cn/index.html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）学校章程及制定的各项规章制度</w:t>
            </w:r>
          </w:p>
        </w:tc>
        <w:tc>
          <w:tcPr>
            <w:tcW w:w="4917" w:type="dxa"/>
            <w:vAlign w:val="center"/>
          </w:tcPr>
          <w:p>
            <w:pPr>
              <w:adjustRightInd w:val="0"/>
              <w:snapToGrid w:val="0"/>
              <w:spacing w:line="240" w:lineRule="exact"/>
              <w:jc w:val="center"/>
              <w:rPr>
                <w:szCs w:val="22"/>
              </w:rPr>
            </w:pPr>
            <w:r>
              <w:rPr>
                <w:rFonts w:hint="eastAsia"/>
                <w:szCs w:val="22"/>
              </w:rPr>
              <w:t>学校章程：</w:t>
            </w:r>
            <w:r>
              <w:rPr>
                <w:szCs w:val="22"/>
              </w:rPr>
              <w:t>http://www.zjhu.edu.cn/page/19.html</w:t>
            </w:r>
          </w:p>
          <w:p>
            <w:pPr>
              <w:adjustRightInd w:val="0"/>
              <w:snapToGrid w:val="0"/>
              <w:spacing w:line="240" w:lineRule="exact"/>
              <w:jc w:val="center"/>
              <w:rPr>
                <w:szCs w:val="22"/>
              </w:rPr>
            </w:pPr>
            <w:r>
              <w:rPr>
                <w:rFonts w:hint="eastAsia"/>
                <w:szCs w:val="22"/>
              </w:rPr>
              <w:t>各类规章制度：</w:t>
            </w:r>
            <w:r>
              <w:rPr>
                <w:szCs w:val="22"/>
              </w:rPr>
              <w:t>http://szxy.zjhu.edu.cn/red.html</w:t>
            </w:r>
            <w:r>
              <w:rPr>
                <w:rFonts w:hint="eastAsia"/>
                <w:szCs w:val="22"/>
              </w:rPr>
              <w:t>（数字校园内网）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）教职工代表大会相关制度、工作报告</w:t>
            </w:r>
          </w:p>
        </w:tc>
        <w:tc>
          <w:tcPr>
            <w:tcW w:w="4917" w:type="dxa"/>
            <w:vAlign w:val="center"/>
          </w:tcPr>
          <w:p>
            <w:pPr>
              <w:adjustRightInd w:val="0"/>
              <w:snapToGrid w:val="0"/>
              <w:spacing w:line="240" w:lineRule="exact"/>
              <w:jc w:val="center"/>
              <w:rPr>
                <w:szCs w:val="22"/>
              </w:rPr>
            </w:pPr>
            <w:r>
              <w:rPr>
                <w:szCs w:val="22"/>
              </w:rPr>
              <w:t>http://gh.zjhu.edu.cn/list.asp?classid=2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）学术委员会相关制度、年度报告</w:t>
            </w:r>
          </w:p>
        </w:tc>
        <w:tc>
          <w:tcPr>
            <w:tcW w:w="4917" w:type="dxa"/>
            <w:vAlign w:val="center"/>
          </w:tcPr>
          <w:p>
            <w:pPr>
              <w:adjustRightInd w:val="0"/>
              <w:snapToGrid w:val="0"/>
              <w:spacing w:line="240" w:lineRule="exact"/>
              <w:jc w:val="center"/>
              <w:rPr>
                <w:szCs w:val="22"/>
              </w:rPr>
            </w:pPr>
            <w:r>
              <w:rPr>
                <w:rFonts w:hint="eastAsia"/>
                <w:szCs w:val="22"/>
              </w:rPr>
              <w:t>相关制度</w:t>
            </w:r>
            <w:r>
              <w:rPr>
                <w:szCs w:val="22"/>
              </w:rPr>
              <w:t>http://szxy.zjhu.edu.cn//type_gx/0101030615.html</w:t>
            </w:r>
            <w:r>
              <w:rPr>
                <w:rFonts w:hint="eastAsia"/>
                <w:szCs w:val="22"/>
              </w:rPr>
              <w:t>（）数字校园内网）</w:t>
            </w:r>
          </w:p>
          <w:p>
            <w:pPr>
              <w:adjustRightInd w:val="0"/>
              <w:snapToGrid w:val="0"/>
              <w:spacing w:line="240" w:lineRule="exact"/>
              <w:jc w:val="center"/>
              <w:rPr>
                <w:szCs w:val="22"/>
              </w:rPr>
            </w:pPr>
            <w:r>
              <w:rPr>
                <w:rFonts w:hint="eastAsia"/>
                <w:szCs w:val="22"/>
              </w:rPr>
              <w:t>年度报告会议公开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）学校发展规划、年度工作计划及重点工作安排</w:t>
            </w:r>
          </w:p>
        </w:tc>
        <w:tc>
          <w:tcPr>
            <w:tcW w:w="4917" w:type="dxa"/>
            <w:vAlign w:val="center"/>
          </w:tcPr>
          <w:p>
            <w:pPr>
              <w:adjustRightInd w:val="0"/>
              <w:snapToGrid w:val="0"/>
              <w:spacing w:line="240" w:lineRule="exact"/>
              <w:jc w:val="center"/>
              <w:rPr>
                <w:szCs w:val="22"/>
              </w:rPr>
            </w:pPr>
            <w:r>
              <w:rPr>
                <w:szCs w:val="22"/>
              </w:rPr>
              <w:t>http://szxy.zjhu.edu.cn/red.html</w:t>
            </w:r>
            <w:r>
              <w:rPr>
                <w:rFonts w:hint="eastAsia"/>
                <w:szCs w:val="22"/>
              </w:rPr>
              <w:t>（数字校园内网）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）信息公开年度报告</w:t>
            </w:r>
          </w:p>
        </w:tc>
        <w:tc>
          <w:tcPr>
            <w:tcW w:w="4917" w:type="dxa"/>
            <w:vAlign w:val="center"/>
          </w:tcPr>
          <w:p>
            <w:pPr>
              <w:adjustRightInd w:val="0"/>
              <w:snapToGrid w:val="0"/>
              <w:spacing w:line="240" w:lineRule="exact"/>
              <w:jc w:val="center"/>
              <w:rPr>
                <w:szCs w:val="22"/>
              </w:rPr>
            </w:pPr>
            <w:r>
              <w:fldChar w:fldCharType="begin"/>
            </w:r>
            <w:r>
              <w:instrText xml:space="preserve"> HYPERLINK "http://www.hutc.zj.cn/" </w:instrText>
            </w:r>
            <w:r>
              <w:fldChar w:fldCharType="separate"/>
            </w:r>
            <w:r>
              <w:rPr>
                <w:szCs w:val="22"/>
              </w:rPr>
              <w:t>http://www.zjhu.edu.cn/</w:t>
            </w:r>
            <w:r>
              <w:rPr>
                <w:szCs w:val="22"/>
              </w:rPr>
              <w:fldChar w:fldCharType="end"/>
            </w:r>
            <w:r>
              <w:rPr>
                <w:rFonts w:hint="eastAsia"/>
                <w:szCs w:val="22"/>
              </w:rPr>
              <w:t>（</w:t>
            </w:r>
            <w:r>
              <w:fldChar w:fldCharType="begin"/>
            </w:r>
            <w:r>
              <w:instrText xml:space="preserve"> HYPERLINK "http://www.hutc.zj.cn/Info/?Id=1" </w:instrText>
            </w:r>
            <w:r>
              <w:fldChar w:fldCharType="separate"/>
            </w:r>
            <w:r>
              <w:rPr>
                <w:rFonts w:hint="eastAsia"/>
                <w:szCs w:val="22"/>
              </w:rPr>
              <w:t>通知公告</w:t>
            </w:r>
            <w:r>
              <w:rPr>
                <w:rFonts w:hint="eastAsia"/>
                <w:szCs w:val="22"/>
              </w:rPr>
              <w:fldChar w:fldCharType="end"/>
            </w:r>
            <w:r>
              <w:rPr>
                <w:rFonts w:hint="eastAsia"/>
                <w:szCs w:val="22"/>
              </w:rPr>
              <w:t>栏）</w:t>
            </w:r>
            <w:r>
              <w:rPr>
                <w:szCs w:val="22"/>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90"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ascii="宋体" w:hAnsi="宋体" w:cs="宋体"/>
                <w:kern w:val="0"/>
                <w:szCs w:val="21"/>
              </w:rPr>
              <w:t>2</w:t>
            </w:r>
          </w:p>
        </w:tc>
        <w:tc>
          <w:tcPr>
            <w:tcW w:w="1395"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招生考试信息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项）</w:t>
            </w: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）招生章程及特殊类型招生办法，分批次、分科类招生计划</w:t>
            </w:r>
          </w:p>
        </w:tc>
        <w:tc>
          <w:tcPr>
            <w:tcW w:w="4917" w:type="dxa"/>
            <w:vAlign w:val="center"/>
          </w:tcPr>
          <w:p>
            <w:pPr>
              <w:adjustRightInd w:val="0"/>
              <w:snapToGrid w:val="0"/>
              <w:spacing w:line="240" w:lineRule="exact"/>
              <w:jc w:val="center"/>
              <w:rPr>
                <w:szCs w:val="22"/>
              </w:rPr>
            </w:pPr>
            <w:r>
              <w:rPr>
                <w:szCs w:val="22"/>
              </w:rPr>
              <w:t>http://zsw.zjhu.edu.cn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）保送、自主选拔录取、高水平运动员和艺术特长生招生等特殊类型招生入选考生资格及测试结果</w:t>
            </w:r>
          </w:p>
        </w:tc>
        <w:tc>
          <w:tcPr>
            <w:tcW w:w="4917" w:type="dxa"/>
            <w:vAlign w:val="center"/>
          </w:tcPr>
          <w:p>
            <w:pPr>
              <w:adjustRightInd w:val="0"/>
              <w:snapToGrid w:val="0"/>
              <w:spacing w:line="240" w:lineRule="exact"/>
              <w:jc w:val="center"/>
              <w:rPr>
                <w:szCs w:val="22"/>
              </w:rPr>
            </w:pPr>
            <w:r>
              <w:rPr>
                <w:szCs w:val="22"/>
              </w:rPr>
              <w:t>http://zsw.zjhu.edu.cn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9</w:t>
            </w:r>
            <w:r>
              <w:rPr>
                <w:rFonts w:hint="eastAsia" w:ascii="宋体" w:hAnsi="宋体" w:cs="宋体"/>
                <w:kern w:val="0"/>
                <w:szCs w:val="21"/>
              </w:rPr>
              <w:t>）考生个人录取信息查询渠道和办法，分批次、分科类录取人数和录取最低分</w:t>
            </w:r>
          </w:p>
        </w:tc>
        <w:tc>
          <w:tcPr>
            <w:tcW w:w="4917" w:type="dxa"/>
            <w:vAlign w:val="center"/>
          </w:tcPr>
          <w:p>
            <w:pPr>
              <w:adjustRightInd w:val="0"/>
              <w:snapToGrid w:val="0"/>
              <w:spacing w:line="240" w:lineRule="exact"/>
              <w:jc w:val="center"/>
              <w:rPr>
                <w:szCs w:val="22"/>
              </w:rPr>
            </w:pPr>
            <w:r>
              <w:rPr>
                <w:szCs w:val="22"/>
              </w:rPr>
              <w:t>http://zsw.zjhu.edu.cn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）招生咨询及考生申诉渠道，新生复查期间有关举报、调查及处理结果</w:t>
            </w:r>
          </w:p>
        </w:tc>
        <w:tc>
          <w:tcPr>
            <w:tcW w:w="4917" w:type="dxa"/>
            <w:vAlign w:val="center"/>
          </w:tcPr>
          <w:p>
            <w:pPr>
              <w:adjustRightInd w:val="0"/>
              <w:snapToGrid w:val="0"/>
              <w:spacing w:line="240" w:lineRule="exact"/>
              <w:jc w:val="center"/>
              <w:rPr>
                <w:szCs w:val="22"/>
              </w:rPr>
            </w:pPr>
            <w:r>
              <w:rPr>
                <w:szCs w:val="22"/>
              </w:rPr>
              <w:t>http://zsw.zjhu.edu.cn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11</w:t>
            </w:r>
            <w:r>
              <w:rPr>
                <w:rFonts w:hint="eastAsia" w:ascii="宋体" w:hAnsi="宋体" w:cs="宋体"/>
                <w:kern w:val="0"/>
                <w:szCs w:val="21"/>
              </w:rPr>
              <w:t>）研究生招生简章、招生专业目录、复试录取办法，各院（系、所）或学科、专业招收研究生人数</w:t>
            </w:r>
          </w:p>
        </w:tc>
        <w:tc>
          <w:tcPr>
            <w:tcW w:w="4917" w:type="dxa"/>
            <w:vAlign w:val="center"/>
          </w:tcPr>
          <w:p>
            <w:pPr>
              <w:adjustRightInd w:val="0"/>
              <w:snapToGrid w:val="0"/>
              <w:spacing w:line="240" w:lineRule="exact"/>
              <w:jc w:val="center"/>
              <w:rPr>
                <w:szCs w:val="22"/>
              </w:rPr>
            </w:pPr>
            <w:r>
              <w:rPr>
                <w:szCs w:val="22"/>
              </w:rPr>
              <w:t>http://yjsc.zjhu.edu.cn/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9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12</w:t>
            </w:r>
            <w:r>
              <w:rPr>
                <w:rFonts w:hint="eastAsia" w:ascii="宋体" w:hAnsi="宋体" w:cs="宋体"/>
                <w:kern w:val="0"/>
                <w:szCs w:val="21"/>
              </w:rPr>
              <w:t>）参加研究生复试的考生成绩</w:t>
            </w:r>
          </w:p>
        </w:tc>
        <w:tc>
          <w:tcPr>
            <w:tcW w:w="4917" w:type="dxa"/>
            <w:vAlign w:val="center"/>
          </w:tcPr>
          <w:p>
            <w:pPr>
              <w:adjustRightInd w:val="0"/>
              <w:snapToGrid w:val="0"/>
              <w:spacing w:line="240" w:lineRule="exact"/>
              <w:jc w:val="center"/>
              <w:rPr>
                <w:szCs w:val="22"/>
              </w:rPr>
            </w:pPr>
            <w:r>
              <w:rPr>
                <w:szCs w:val="22"/>
              </w:rPr>
              <w:t>http://yjsc.zjhu.edu.cn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13</w:t>
            </w:r>
            <w:r>
              <w:rPr>
                <w:rFonts w:hint="eastAsia" w:ascii="宋体" w:hAnsi="宋体" w:cs="宋体"/>
                <w:kern w:val="0"/>
                <w:szCs w:val="21"/>
              </w:rPr>
              <w:t>）拟录取研究生名单</w:t>
            </w:r>
          </w:p>
        </w:tc>
        <w:tc>
          <w:tcPr>
            <w:tcW w:w="4917" w:type="dxa"/>
            <w:vAlign w:val="center"/>
          </w:tcPr>
          <w:p>
            <w:pPr>
              <w:adjustRightInd w:val="0"/>
              <w:snapToGrid w:val="0"/>
              <w:spacing w:line="240" w:lineRule="exact"/>
              <w:jc w:val="center"/>
              <w:rPr>
                <w:szCs w:val="22"/>
              </w:rPr>
            </w:pPr>
            <w:r>
              <w:rPr>
                <w:szCs w:val="22"/>
              </w:rPr>
              <w:t>http://yjsc.zjhu.edu.cn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14</w:t>
            </w:r>
            <w:r>
              <w:rPr>
                <w:rFonts w:hint="eastAsia" w:ascii="宋体" w:hAnsi="宋体" w:cs="宋体"/>
                <w:kern w:val="0"/>
                <w:szCs w:val="21"/>
              </w:rPr>
              <w:t>）研究生招生咨询及申诉渠道</w:t>
            </w:r>
          </w:p>
        </w:tc>
        <w:tc>
          <w:tcPr>
            <w:tcW w:w="4917" w:type="dxa"/>
            <w:vAlign w:val="center"/>
          </w:tcPr>
          <w:p>
            <w:pPr>
              <w:adjustRightInd w:val="0"/>
              <w:snapToGrid w:val="0"/>
              <w:spacing w:line="240" w:lineRule="exact"/>
              <w:jc w:val="center"/>
              <w:rPr>
                <w:szCs w:val="22"/>
              </w:rPr>
            </w:pPr>
            <w:r>
              <w:rPr>
                <w:szCs w:val="22"/>
              </w:rPr>
              <w:t xml:space="preserve">http://yjsc.zjhu.edu.cn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ascii="宋体" w:hAnsi="宋体" w:cs="宋体"/>
                <w:kern w:val="0"/>
                <w:szCs w:val="21"/>
              </w:rPr>
              <w:t>3</w:t>
            </w:r>
          </w:p>
        </w:tc>
        <w:tc>
          <w:tcPr>
            <w:tcW w:w="1395"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财务、资产及收费信息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项）</w:t>
            </w: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15</w:t>
            </w:r>
            <w:r>
              <w:rPr>
                <w:rFonts w:hint="eastAsia" w:ascii="宋体" w:hAnsi="宋体" w:cs="宋体"/>
                <w:kern w:val="0"/>
                <w:szCs w:val="21"/>
              </w:rPr>
              <w:t>）财务、资产管理制度</w:t>
            </w:r>
          </w:p>
        </w:tc>
        <w:tc>
          <w:tcPr>
            <w:tcW w:w="4917" w:type="dxa"/>
            <w:vAlign w:val="center"/>
          </w:tcPr>
          <w:p>
            <w:pPr>
              <w:adjustRightInd w:val="0"/>
              <w:snapToGrid w:val="0"/>
              <w:spacing w:line="240" w:lineRule="exact"/>
              <w:jc w:val="center"/>
              <w:rPr>
                <w:szCs w:val="22"/>
              </w:rPr>
            </w:pPr>
            <w:r>
              <w:fldChar w:fldCharType="begin"/>
            </w:r>
            <w:r>
              <w:instrText xml:space="preserve"> HYPERLINK "http://jhcwc.zjhu.edu.cn/list.aspx?cid=30" </w:instrText>
            </w:r>
            <w:r>
              <w:fldChar w:fldCharType="separate"/>
            </w:r>
            <w:r>
              <w:rPr>
                <w:szCs w:val="22"/>
              </w:rPr>
              <w:t>http://jhcwc.zjhu.edu.cn/list.aspx?cid=30</w:t>
            </w:r>
            <w:r>
              <w:rPr>
                <w:szCs w:val="22"/>
              </w:rPr>
              <w:fldChar w:fldCharType="end"/>
            </w:r>
          </w:p>
          <w:p>
            <w:pPr>
              <w:adjustRightInd w:val="0"/>
              <w:snapToGrid w:val="0"/>
              <w:spacing w:line="240" w:lineRule="exact"/>
              <w:jc w:val="center"/>
              <w:rPr>
                <w:szCs w:val="22"/>
              </w:rPr>
            </w:pPr>
            <w:r>
              <w:rPr>
                <w:rFonts w:hint="eastAsia"/>
                <w:szCs w:val="22"/>
              </w:rPr>
              <w:t>（财务管理制度）</w:t>
            </w:r>
          </w:p>
          <w:p>
            <w:pPr>
              <w:adjustRightInd w:val="0"/>
              <w:snapToGrid w:val="0"/>
              <w:spacing w:line="240" w:lineRule="exact"/>
              <w:jc w:val="center"/>
              <w:rPr>
                <w:szCs w:val="22"/>
              </w:rPr>
            </w:pPr>
            <w:r>
              <w:rPr>
                <w:szCs w:val="22"/>
              </w:rPr>
              <w:t>http://xcglc.zjhu.edu.cn/gyzc/index.asp?id=33</w:t>
            </w:r>
            <w:r>
              <w:rPr>
                <w:rFonts w:hint="eastAsia"/>
                <w:szCs w:val="22"/>
              </w:rPr>
              <w:t>（资产管理制度）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16</w:t>
            </w:r>
            <w:r>
              <w:rPr>
                <w:rFonts w:hint="eastAsia" w:ascii="宋体" w:hAnsi="宋体" w:cs="宋体"/>
                <w:kern w:val="0"/>
                <w:szCs w:val="21"/>
              </w:rPr>
              <w:t>）受捐赠财产的使用与管理情况</w:t>
            </w:r>
          </w:p>
        </w:tc>
        <w:tc>
          <w:tcPr>
            <w:tcW w:w="4917" w:type="dxa"/>
            <w:vAlign w:val="center"/>
          </w:tcPr>
          <w:p>
            <w:pPr>
              <w:adjustRightInd w:val="0"/>
              <w:snapToGrid w:val="0"/>
              <w:spacing w:line="240" w:lineRule="exact"/>
              <w:jc w:val="center"/>
              <w:rPr>
                <w:szCs w:val="22"/>
              </w:rPr>
            </w:pPr>
            <w:r>
              <w:rPr>
                <w:szCs w:val="22"/>
              </w:rPr>
              <w:t>http://xyw.zjhu.edu.cn/list.aspx?cid=9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w:t>
            </w:r>
            <w:r>
              <w:rPr>
                <w:rFonts w:ascii="宋体" w:hAnsi="宋体" w:cs="宋体"/>
                <w:kern w:val="0"/>
                <w:szCs w:val="21"/>
              </w:rPr>
              <w:t>17</w:t>
            </w:r>
            <w:r>
              <w:rPr>
                <w:rFonts w:hint="eastAsia" w:ascii="宋体" w:hAnsi="宋体" w:cs="宋体"/>
                <w:kern w:val="0"/>
                <w:szCs w:val="21"/>
              </w:rPr>
              <w:t>）校办企业资产、负债、国有资产保值增值等信息</w:t>
            </w:r>
          </w:p>
        </w:tc>
        <w:tc>
          <w:tcPr>
            <w:tcW w:w="4917" w:type="dxa"/>
            <w:vAlign w:val="center"/>
          </w:tcPr>
          <w:p>
            <w:pPr>
              <w:adjustRightInd w:val="0"/>
              <w:snapToGrid w:val="0"/>
              <w:spacing w:line="240" w:lineRule="exact"/>
              <w:jc w:val="center"/>
              <w:rPr>
                <w:szCs w:val="22"/>
              </w:rPr>
            </w:pPr>
            <w:r>
              <w:rPr>
                <w:szCs w:val="22"/>
              </w:rPr>
              <w:t>http://xcglc.zjhu.edu.cn/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18</w:t>
            </w:r>
            <w:r>
              <w:rPr>
                <w:rFonts w:hint="eastAsia" w:ascii="宋体" w:hAnsi="宋体" w:cs="宋体"/>
                <w:kern w:val="0"/>
                <w:szCs w:val="21"/>
              </w:rPr>
              <w:t>）仪器设备、图书、药品等物资设备采购和重大基建工程的招投标</w:t>
            </w:r>
          </w:p>
        </w:tc>
        <w:tc>
          <w:tcPr>
            <w:tcW w:w="4917" w:type="dxa"/>
            <w:vAlign w:val="center"/>
          </w:tcPr>
          <w:p>
            <w:pPr>
              <w:adjustRightInd w:val="0"/>
              <w:snapToGrid w:val="0"/>
              <w:spacing w:line="240" w:lineRule="exact"/>
              <w:jc w:val="center"/>
              <w:rPr>
                <w:szCs w:val="22"/>
              </w:rPr>
            </w:pPr>
            <w:r>
              <w:rPr>
                <w:szCs w:val="22"/>
              </w:rPr>
              <w:t>http://cgzx.zjhu.edu.cn/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19</w:t>
            </w:r>
            <w:r>
              <w:rPr>
                <w:rFonts w:hint="eastAsia" w:ascii="宋体" w:hAnsi="宋体" w:cs="宋体"/>
                <w:kern w:val="0"/>
                <w:szCs w:val="21"/>
              </w:rPr>
              <w:t>）收支预算总表、收入预算表、支出预算表、财政拨款支出预算表</w:t>
            </w:r>
          </w:p>
        </w:tc>
        <w:tc>
          <w:tcPr>
            <w:tcW w:w="4917" w:type="dxa"/>
            <w:vAlign w:val="center"/>
          </w:tcPr>
          <w:p>
            <w:pPr>
              <w:adjustRightInd w:val="0"/>
              <w:snapToGrid w:val="0"/>
              <w:spacing w:line="240" w:lineRule="exact"/>
              <w:jc w:val="center"/>
              <w:rPr>
                <w:rFonts w:ascii="宋体" w:cs="宋体"/>
                <w:szCs w:val="21"/>
              </w:rPr>
            </w:pPr>
            <w:r>
              <w:t>http://www.zjhu.edu.cn/plug/ysgk.html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20</w:t>
            </w:r>
            <w:r>
              <w:rPr>
                <w:rFonts w:hint="eastAsia" w:ascii="宋体" w:hAnsi="宋体" w:cs="宋体"/>
                <w:kern w:val="0"/>
                <w:szCs w:val="21"/>
              </w:rPr>
              <w:t>）收支决算总表、收入决算表、支出决算表、财政拨款支出决算表</w:t>
            </w:r>
          </w:p>
        </w:tc>
        <w:tc>
          <w:tcPr>
            <w:tcW w:w="4917" w:type="dxa"/>
            <w:vAlign w:val="center"/>
          </w:tcPr>
          <w:p>
            <w:pPr>
              <w:adjustRightInd w:val="0"/>
              <w:snapToGrid w:val="0"/>
              <w:spacing w:line="240" w:lineRule="exact"/>
              <w:jc w:val="center"/>
              <w:rPr>
                <w:rFonts w:ascii="宋体" w:cs="宋体"/>
                <w:szCs w:val="21"/>
              </w:rPr>
            </w:pPr>
            <w:r>
              <w:t>http://www.zjhu.edu.cn/plug/ysgk.html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w:t>
            </w:r>
            <w:r>
              <w:rPr>
                <w:rFonts w:ascii="宋体" w:hAnsi="宋体" w:cs="宋体"/>
                <w:kern w:val="0"/>
                <w:szCs w:val="21"/>
              </w:rPr>
              <w:t>21</w:t>
            </w:r>
            <w:r>
              <w:rPr>
                <w:rFonts w:hint="eastAsia" w:ascii="宋体" w:hAnsi="宋体" w:cs="宋体"/>
                <w:kern w:val="0"/>
                <w:szCs w:val="21"/>
              </w:rPr>
              <w:t>）收费项目、收费依据、收费标准及投诉方式</w:t>
            </w:r>
          </w:p>
        </w:tc>
        <w:tc>
          <w:tcPr>
            <w:tcW w:w="4917" w:type="dxa"/>
            <w:vAlign w:val="center"/>
          </w:tcPr>
          <w:p>
            <w:pPr>
              <w:adjustRightInd w:val="0"/>
              <w:snapToGrid w:val="0"/>
              <w:spacing w:line="240" w:lineRule="exact"/>
              <w:jc w:val="center"/>
              <w:rPr>
                <w:rFonts w:ascii="宋体" w:cs="宋体"/>
                <w:szCs w:val="21"/>
              </w:rPr>
            </w:pPr>
            <w:r>
              <w:rPr>
                <w:rFonts w:ascii="宋体" w:hAnsi="宋体" w:cs="宋体"/>
                <w:szCs w:val="21"/>
              </w:rPr>
              <w:t>http://jhcwc.zjhu.edu.cn/sfgs.asp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ascii="宋体" w:hAnsi="宋体" w:cs="宋体"/>
                <w:kern w:val="0"/>
                <w:szCs w:val="21"/>
              </w:rPr>
              <w:t>4</w:t>
            </w:r>
          </w:p>
        </w:tc>
        <w:tc>
          <w:tcPr>
            <w:tcW w:w="1395"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人事师资信息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项）</w:t>
            </w:r>
          </w:p>
        </w:tc>
        <w:tc>
          <w:tcPr>
            <w:tcW w:w="6390"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w:t>
            </w:r>
            <w:r>
              <w:rPr>
                <w:rFonts w:ascii="宋体" w:hAnsi="宋体" w:cs="宋体"/>
                <w:kern w:val="0"/>
                <w:szCs w:val="21"/>
              </w:rPr>
              <w:t>22</w:t>
            </w:r>
            <w:r>
              <w:rPr>
                <w:rFonts w:hint="eastAsia" w:ascii="宋体" w:hAnsi="宋体" w:cs="宋体"/>
                <w:kern w:val="0"/>
                <w:szCs w:val="21"/>
              </w:rPr>
              <w:t>）校级领导干部社会兼职情况</w:t>
            </w:r>
          </w:p>
        </w:tc>
        <w:tc>
          <w:tcPr>
            <w:tcW w:w="4917" w:type="dxa"/>
            <w:vAlign w:val="center"/>
          </w:tcPr>
          <w:p>
            <w:pPr>
              <w:widowControl/>
              <w:jc w:val="center"/>
              <w:rPr>
                <w:color w:val="000000" w:themeColor="text1"/>
              </w:rPr>
            </w:pPr>
            <w:r>
              <w:rPr>
                <w:rFonts w:hint="eastAsia" w:ascii="宋体" w:hAnsi="宋体" w:cs="宋体"/>
                <w:color w:val="000000" w:themeColor="text1"/>
                <w:kern w:val="0"/>
                <w:szCs w:val="21"/>
              </w:rPr>
              <w:t>按程序进行审批</w:t>
            </w:r>
          </w:p>
          <w:p>
            <w:pPr>
              <w:widowControl/>
              <w:adjustRightInd w:val="0"/>
              <w:snapToGrid w:val="0"/>
              <w:spacing w:line="240" w:lineRule="exact"/>
              <w:jc w:val="center"/>
              <w:rPr>
                <w:rFonts w:ascii="宋体" w:cs="宋体"/>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w:t>
            </w:r>
            <w:r>
              <w:rPr>
                <w:rFonts w:ascii="宋体" w:hAnsi="宋体" w:cs="宋体"/>
                <w:kern w:val="0"/>
                <w:szCs w:val="21"/>
              </w:rPr>
              <w:t>23</w:t>
            </w:r>
            <w:r>
              <w:rPr>
                <w:rFonts w:hint="eastAsia" w:ascii="宋体" w:hAnsi="宋体" w:cs="宋体"/>
                <w:kern w:val="0"/>
                <w:szCs w:val="21"/>
              </w:rPr>
              <w:t>）校级领导干部因公出国（境）情况</w:t>
            </w:r>
          </w:p>
        </w:tc>
        <w:tc>
          <w:tcPr>
            <w:tcW w:w="4917" w:type="dxa"/>
            <w:vAlign w:val="center"/>
          </w:tcPr>
          <w:p>
            <w:pPr>
              <w:adjustRightInd w:val="0"/>
              <w:snapToGrid w:val="0"/>
              <w:spacing w:line="240" w:lineRule="exact"/>
              <w:jc w:val="center"/>
              <w:rPr>
                <w:rFonts w:ascii="宋体" w:cs="宋体"/>
                <w:kern w:val="0"/>
                <w:szCs w:val="21"/>
              </w:rPr>
            </w:pPr>
            <w:r>
              <w:rPr>
                <w:rFonts w:ascii="宋体" w:hAnsi="宋体" w:cs="宋体"/>
                <w:kern w:val="0"/>
                <w:szCs w:val="21"/>
              </w:rPr>
              <w:t>http://wsc.zjhu.edu.cn/index_cn.asp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w:t>
            </w:r>
            <w:r>
              <w:rPr>
                <w:rFonts w:ascii="宋体" w:hAnsi="宋体" w:cs="宋体"/>
                <w:kern w:val="0"/>
                <w:szCs w:val="21"/>
              </w:rPr>
              <w:t>24</w:t>
            </w:r>
            <w:r>
              <w:rPr>
                <w:rFonts w:hint="eastAsia" w:ascii="宋体" w:hAnsi="宋体" w:cs="宋体"/>
                <w:kern w:val="0"/>
                <w:szCs w:val="21"/>
              </w:rPr>
              <w:t>）岗位设置管理与聘用办法</w:t>
            </w:r>
          </w:p>
        </w:tc>
        <w:tc>
          <w:tcPr>
            <w:tcW w:w="4917" w:type="dxa"/>
            <w:vAlign w:val="center"/>
          </w:tcPr>
          <w:p>
            <w:pPr>
              <w:adjustRightInd w:val="0"/>
              <w:snapToGrid w:val="0"/>
              <w:spacing w:line="240" w:lineRule="exact"/>
              <w:jc w:val="center"/>
              <w:rPr>
                <w:rFonts w:ascii="宋体" w:cs="宋体"/>
                <w:kern w:val="0"/>
                <w:szCs w:val="21"/>
              </w:rPr>
            </w:pPr>
            <w:r>
              <w:fldChar w:fldCharType="begin"/>
            </w:r>
            <w:r>
              <w:instrText xml:space="preserve"> HYPERLINK "http://szxy.zjhu.edu.cn/red.html" </w:instrText>
            </w:r>
            <w:r>
              <w:fldChar w:fldCharType="separate"/>
            </w:r>
            <w:r>
              <w:rPr>
                <w:rFonts w:ascii="宋体" w:hAnsi="宋体" w:cs="宋体"/>
                <w:kern w:val="0"/>
                <w:szCs w:val="21"/>
              </w:rPr>
              <w:t>http://szxy.zjhu.edu.cn/red.html</w:t>
            </w:r>
            <w:r>
              <w:rPr>
                <w:rFonts w:ascii="宋体" w:hAnsi="宋体" w:cs="宋体"/>
                <w:kern w:val="0"/>
                <w:szCs w:val="21"/>
              </w:rPr>
              <w:fldChar w:fldCharType="end"/>
            </w:r>
            <w:r>
              <w:rPr>
                <w:rFonts w:hint="eastAsia" w:ascii="宋体" w:hAnsi="宋体" w:cs="宋体"/>
                <w:kern w:val="0"/>
                <w:szCs w:val="21"/>
              </w:rPr>
              <w:t>（数字校园）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25</w:t>
            </w:r>
            <w:r>
              <w:rPr>
                <w:rFonts w:hint="eastAsia" w:ascii="宋体" w:hAnsi="宋体" w:cs="宋体"/>
                <w:kern w:val="0"/>
                <w:szCs w:val="21"/>
              </w:rPr>
              <w:t>）校内中层干部任免、人员招聘信息</w:t>
            </w:r>
          </w:p>
        </w:tc>
        <w:tc>
          <w:tcPr>
            <w:tcW w:w="4917" w:type="dxa"/>
            <w:vAlign w:val="center"/>
          </w:tcPr>
          <w:p>
            <w:pPr>
              <w:adjustRightInd w:val="0"/>
              <w:snapToGrid w:val="0"/>
              <w:spacing w:line="240" w:lineRule="exact"/>
              <w:jc w:val="center"/>
              <w:rPr>
                <w:rFonts w:ascii="宋体" w:cs="宋体"/>
                <w:kern w:val="0"/>
                <w:szCs w:val="21"/>
              </w:rPr>
            </w:pPr>
            <w:r>
              <w:rPr>
                <w:rFonts w:hint="eastAsia" w:ascii="宋体" w:hAnsi="宋体" w:cs="宋体"/>
                <w:kern w:val="0"/>
                <w:szCs w:val="21"/>
              </w:rPr>
              <w:t>人员招聘：</w:t>
            </w:r>
          </w:p>
          <w:p>
            <w:pPr>
              <w:adjustRightInd w:val="0"/>
              <w:snapToGrid w:val="0"/>
              <w:spacing w:line="240" w:lineRule="exact"/>
              <w:jc w:val="center"/>
              <w:rPr>
                <w:rFonts w:ascii="宋体" w:cs="宋体"/>
                <w:kern w:val="0"/>
                <w:szCs w:val="21"/>
              </w:rPr>
            </w:pPr>
            <w:r>
              <w:fldChar w:fldCharType="begin"/>
            </w:r>
            <w:r>
              <w:instrText xml:space="preserve"> HYPERLINK "http://rsc.zjhu.edu.cn/Col/Col55/Index.aspx" </w:instrText>
            </w:r>
            <w:r>
              <w:fldChar w:fldCharType="separate"/>
            </w:r>
            <w:r>
              <w:rPr>
                <w:rFonts w:ascii="宋体" w:hAnsi="宋体" w:cs="宋体"/>
                <w:kern w:val="0"/>
                <w:szCs w:val="21"/>
              </w:rPr>
              <w:t>http://rsc.zjhu.edu.cn/Col/Col55/Index.aspx</w:t>
            </w:r>
            <w:r>
              <w:rPr>
                <w:rFonts w:ascii="宋体" w:hAnsi="宋体" w:cs="宋体"/>
                <w:kern w:val="0"/>
                <w:szCs w:val="21"/>
              </w:rPr>
              <w:fldChar w:fldCharType="end"/>
            </w:r>
          </w:p>
          <w:p>
            <w:pPr>
              <w:adjustRightInd w:val="0"/>
              <w:snapToGrid w:val="0"/>
              <w:spacing w:line="240" w:lineRule="exact"/>
              <w:jc w:val="center"/>
              <w:rPr>
                <w:rFonts w:ascii="宋体" w:cs="宋体"/>
                <w:kern w:val="0"/>
                <w:szCs w:val="21"/>
              </w:rPr>
            </w:pPr>
            <w:r>
              <w:rPr>
                <w:rFonts w:hint="eastAsia" w:ascii="宋体" w:hAnsi="宋体" w:cs="宋体"/>
                <w:kern w:val="0"/>
                <w:szCs w:val="21"/>
              </w:rPr>
              <w:t>校内中层干部任免公示公告：</w:t>
            </w:r>
          </w:p>
          <w:p>
            <w:pPr>
              <w:adjustRightInd w:val="0"/>
              <w:snapToGrid w:val="0"/>
              <w:spacing w:line="240" w:lineRule="exact"/>
              <w:jc w:val="center"/>
              <w:rPr>
                <w:rFonts w:ascii="宋体" w:cs="宋体"/>
                <w:kern w:val="0"/>
                <w:szCs w:val="21"/>
              </w:rPr>
            </w:pPr>
            <w:r>
              <w:fldChar w:fldCharType="begin"/>
            </w:r>
            <w:r>
              <w:instrText xml:space="preserve"> HYPERLINK "http://szxy.zjhu.edu.cn/red.html" </w:instrText>
            </w:r>
            <w:r>
              <w:fldChar w:fldCharType="separate"/>
            </w:r>
            <w:r>
              <w:rPr>
                <w:rFonts w:ascii="宋体" w:hAnsi="宋体" w:cs="宋体"/>
                <w:kern w:val="0"/>
                <w:szCs w:val="21"/>
              </w:rPr>
              <w:t>http://szxy.zjhu.edu.cn</w:t>
            </w:r>
            <w:r>
              <w:rPr>
                <w:rFonts w:ascii="宋体" w:hAnsi="宋体" w:cs="宋体"/>
                <w:kern w:val="0"/>
                <w:szCs w:val="21"/>
              </w:rPr>
              <w:fldChar w:fldCharType="end"/>
            </w:r>
            <w:r>
              <w:rPr>
                <w:rFonts w:hint="eastAsia" w:ascii="宋体" w:hAnsi="宋体" w:cs="宋体"/>
                <w:kern w:val="0"/>
                <w:szCs w:val="21"/>
              </w:rPr>
              <w:t>（数字校园）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26</w:t>
            </w:r>
            <w:r>
              <w:rPr>
                <w:rFonts w:hint="eastAsia" w:ascii="宋体" w:hAnsi="宋体" w:cs="宋体"/>
                <w:kern w:val="0"/>
                <w:szCs w:val="21"/>
              </w:rPr>
              <w:t>）教职工争议解决办法</w:t>
            </w:r>
          </w:p>
        </w:tc>
        <w:tc>
          <w:tcPr>
            <w:tcW w:w="4917" w:type="dxa"/>
            <w:vAlign w:val="center"/>
          </w:tcPr>
          <w:p>
            <w:pPr>
              <w:adjustRightInd w:val="0"/>
              <w:snapToGrid w:val="0"/>
              <w:spacing w:line="240" w:lineRule="exact"/>
              <w:jc w:val="center"/>
              <w:rPr>
                <w:rFonts w:ascii="宋体" w:cs="宋体"/>
                <w:kern w:val="0"/>
                <w:szCs w:val="21"/>
              </w:rPr>
            </w:pPr>
            <w:r>
              <w:rPr>
                <w:rFonts w:ascii="宋体" w:hAnsi="宋体" w:cs="宋体"/>
                <w:kern w:val="0"/>
                <w:szCs w:val="21"/>
              </w:rPr>
              <w:t>http://rsc.zjhu.edu.cn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ascii="宋体" w:hAnsi="宋体" w:cs="宋体"/>
                <w:kern w:val="0"/>
                <w:szCs w:val="21"/>
              </w:rPr>
              <w:t>5</w:t>
            </w:r>
          </w:p>
        </w:tc>
        <w:tc>
          <w:tcPr>
            <w:tcW w:w="1395"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教学质量信息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9</w:t>
            </w:r>
            <w:r>
              <w:rPr>
                <w:rFonts w:hint="eastAsia" w:ascii="宋体" w:hAnsi="宋体" w:cs="宋体"/>
                <w:kern w:val="0"/>
                <w:szCs w:val="21"/>
              </w:rPr>
              <w:t>项）</w:t>
            </w: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27</w:t>
            </w:r>
            <w:r>
              <w:rPr>
                <w:rFonts w:hint="eastAsia" w:ascii="宋体" w:hAnsi="宋体" w:cs="宋体"/>
                <w:kern w:val="0"/>
                <w:szCs w:val="21"/>
              </w:rPr>
              <w:t>）本科生占全日制在校生总数的比例、教师数量及结构</w:t>
            </w:r>
          </w:p>
        </w:tc>
        <w:tc>
          <w:tcPr>
            <w:tcW w:w="4917" w:type="dxa"/>
            <w:vAlign w:val="center"/>
          </w:tcPr>
          <w:p>
            <w:pPr>
              <w:widowControl/>
              <w:adjustRightInd w:val="0"/>
              <w:snapToGrid w:val="0"/>
              <w:spacing w:line="240" w:lineRule="exact"/>
              <w:jc w:val="center"/>
              <w:rPr>
                <w:rFonts w:ascii="宋体" w:cs="宋体"/>
                <w:szCs w:val="21"/>
              </w:rPr>
            </w:pPr>
            <w:r>
              <w:rPr>
                <w:rFonts w:hint="eastAsia" w:ascii="宋体" w:hAnsi="宋体" w:cs="宋体"/>
                <w:szCs w:val="21"/>
              </w:rPr>
              <w:t>http://jwc.zjhu.edu.cn/show.aspx?id=1792&amp;cid=70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28</w:t>
            </w:r>
            <w:r>
              <w:rPr>
                <w:rFonts w:hint="eastAsia" w:ascii="宋体" w:hAnsi="宋体" w:cs="宋体"/>
                <w:kern w:val="0"/>
                <w:szCs w:val="21"/>
              </w:rPr>
              <w:t>）专业设置、当年新增专业、停招专业名单</w:t>
            </w:r>
          </w:p>
        </w:tc>
        <w:tc>
          <w:tcPr>
            <w:tcW w:w="4917" w:type="dxa"/>
            <w:vAlign w:val="center"/>
          </w:tcPr>
          <w:p>
            <w:pPr>
              <w:adjustRightInd w:val="0"/>
              <w:snapToGrid w:val="0"/>
              <w:spacing w:line="240" w:lineRule="exact"/>
              <w:jc w:val="center"/>
              <w:rPr>
                <w:rFonts w:ascii="宋体" w:cs="宋体"/>
                <w:szCs w:val="21"/>
              </w:rPr>
            </w:pPr>
            <w:r>
              <w:rPr>
                <w:rFonts w:hint="eastAsia" w:ascii="宋体" w:cs="宋体"/>
                <w:szCs w:val="21"/>
              </w:rPr>
              <w:t>http://jwc.zjhu.edu.cn/show.aspx?id=1558&amp;cid=80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29</w:t>
            </w:r>
            <w:r>
              <w:rPr>
                <w:rFonts w:hint="eastAsia" w:ascii="宋体" w:hAnsi="宋体" w:cs="宋体"/>
                <w:kern w:val="0"/>
                <w:szCs w:val="21"/>
              </w:rPr>
              <w:t>）全校开设课程总门数、实践教学学分占总学分比例、选修课学分占总学分比例</w:t>
            </w:r>
          </w:p>
        </w:tc>
        <w:tc>
          <w:tcPr>
            <w:tcW w:w="4917" w:type="dxa"/>
            <w:vMerge w:val="restart"/>
            <w:vAlign w:val="center"/>
          </w:tcPr>
          <w:p>
            <w:pPr>
              <w:adjustRightInd w:val="0"/>
              <w:snapToGrid w:val="0"/>
              <w:spacing w:line="240" w:lineRule="exact"/>
              <w:jc w:val="center"/>
              <w:rPr>
                <w:rFonts w:ascii="宋体" w:cs="宋体"/>
                <w:szCs w:val="21"/>
              </w:rPr>
            </w:pPr>
            <w:r>
              <w:rPr>
                <w:rFonts w:hint="eastAsia" w:ascii="宋体" w:hAnsi="宋体" w:cs="宋体"/>
                <w:szCs w:val="21"/>
              </w:rPr>
              <w:t>印制在本科教学质量报告中，本科教学质量报告：</w:t>
            </w:r>
          </w:p>
          <w:p>
            <w:pPr>
              <w:adjustRightInd w:val="0"/>
              <w:snapToGrid w:val="0"/>
              <w:spacing w:line="240" w:lineRule="exact"/>
              <w:jc w:val="center"/>
              <w:rPr>
                <w:rFonts w:ascii="宋体" w:cs="宋体"/>
                <w:szCs w:val="21"/>
              </w:rPr>
            </w:pPr>
            <w:r>
              <w:rPr>
                <w:rFonts w:hint="eastAsia" w:ascii="宋体" w:hAnsi="宋体" w:cs="宋体"/>
                <w:szCs w:val="21"/>
              </w:rPr>
              <w:t>http://jwc.zjhu.edu.cn/show.aspx?id=1841&amp;cid=81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30</w:t>
            </w:r>
            <w:r>
              <w:rPr>
                <w:rFonts w:hint="eastAsia" w:ascii="宋体" w:hAnsi="宋体" w:cs="宋体"/>
                <w:kern w:val="0"/>
                <w:szCs w:val="21"/>
              </w:rPr>
              <w:t>）主讲本科课程的教授占教授总数的比例、教授授本科课程占课程总门次数的比例</w:t>
            </w:r>
          </w:p>
        </w:tc>
        <w:tc>
          <w:tcPr>
            <w:tcW w:w="4917" w:type="dxa"/>
            <w:vMerge w:val="continue"/>
            <w:vAlign w:val="center"/>
          </w:tcPr>
          <w:p>
            <w:pPr>
              <w:adjustRightInd w:val="0"/>
              <w:snapToGrid w:val="0"/>
              <w:spacing w:line="240" w:lineRule="exact"/>
              <w:jc w:val="center"/>
              <w:rPr>
                <w:rFonts w:ascii="宋体" w:cs="宋体"/>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31</w:t>
            </w:r>
            <w:r>
              <w:rPr>
                <w:rFonts w:hint="eastAsia" w:ascii="宋体" w:hAnsi="宋体" w:cs="宋体"/>
                <w:kern w:val="0"/>
                <w:szCs w:val="21"/>
              </w:rPr>
              <w:t>）促进毕业生就业的政策措施和指导服务</w:t>
            </w:r>
          </w:p>
        </w:tc>
        <w:tc>
          <w:tcPr>
            <w:tcW w:w="4917" w:type="dxa"/>
            <w:vAlign w:val="center"/>
          </w:tcPr>
          <w:p>
            <w:pPr>
              <w:widowControl/>
              <w:adjustRightInd w:val="0"/>
              <w:snapToGrid w:val="0"/>
              <w:spacing w:line="240" w:lineRule="exact"/>
              <w:jc w:val="center"/>
              <w:rPr>
                <w:rFonts w:ascii="宋体" w:cs="宋体"/>
                <w:szCs w:val="21"/>
              </w:rPr>
            </w:pPr>
            <w:r>
              <w:rPr>
                <w:rFonts w:ascii="宋体" w:hAnsi="宋体" w:cs="宋体"/>
                <w:szCs w:val="21"/>
              </w:rPr>
              <w:t>http://www.jy.zjhu.edu.cn/news/class_11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32</w:t>
            </w:r>
            <w:r>
              <w:rPr>
                <w:rFonts w:hint="eastAsia" w:ascii="宋体" w:hAnsi="宋体" w:cs="宋体"/>
                <w:kern w:val="0"/>
                <w:szCs w:val="21"/>
              </w:rPr>
              <w:t>）毕业生的规模、结构、生源地</w:t>
            </w:r>
          </w:p>
        </w:tc>
        <w:tc>
          <w:tcPr>
            <w:tcW w:w="4917" w:type="dxa"/>
            <w:vAlign w:val="center"/>
          </w:tcPr>
          <w:p>
            <w:pPr>
              <w:adjustRightInd w:val="0"/>
              <w:snapToGrid w:val="0"/>
              <w:spacing w:line="240" w:lineRule="exact"/>
              <w:jc w:val="center"/>
              <w:rPr>
                <w:rFonts w:ascii="宋体" w:cs="宋体"/>
                <w:szCs w:val="21"/>
              </w:rPr>
            </w:pPr>
            <w:r>
              <w:rPr>
                <w:rFonts w:ascii="宋体" w:hAnsi="宋体" w:cs="宋体"/>
                <w:szCs w:val="21"/>
              </w:rPr>
              <w:t>http://www.jy.zjhu.edu.cn/news/164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33</w:t>
            </w:r>
            <w:r>
              <w:rPr>
                <w:rFonts w:hint="eastAsia" w:ascii="宋体" w:hAnsi="宋体" w:cs="宋体"/>
                <w:kern w:val="0"/>
                <w:szCs w:val="21"/>
              </w:rPr>
              <w:t>）高校毕业生就业质量年度报告</w:t>
            </w:r>
          </w:p>
        </w:tc>
        <w:tc>
          <w:tcPr>
            <w:tcW w:w="4917" w:type="dxa"/>
            <w:vAlign w:val="center"/>
          </w:tcPr>
          <w:p>
            <w:pPr>
              <w:adjustRightInd w:val="0"/>
              <w:snapToGrid w:val="0"/>
              <w:spacing w:line="240" w:lineRule="exact"/>
              <w:jc w:val="center"/>
              <w:rPr>
                <w:rFonts w:ascii="宋体" w:hAnsi="宋体" w:cs="宋体"/>
                <w:szCs w:val="21"/>
              </w:rPr>
            </w:pPr>
            <w:r>
              <w:rPr>
                <w:rFonts w:ascii="宋体" w:hAnsi="宋体" w:cs="宋体"/>
                <w:szCs w:val="21"/>
              </w:rPr>
              <w:t>http://www.zjhu.edu.cn/Info/View.Asp?id=22581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w:t>
            </w:r>
            <w:r>
              <w:rPr>
                <w:rFonts w:ascii="宋体" w:hAnsi="宋体" w:cs="宋体"/>
                <w:kern w:val="0"/>
                <w:szCs w:val="21"/>
              </w:rPr>
              <w:t>34</w:t>
            </w:r>
            <w:r>
              <w:rPr>
                <w:rFonts w:hint="eastAsia" w:ascii="宋体" w:hAnsi="宋体" w:cs="宋体"/>
                <w:kern w:val="0"/>
                <w:szCs w:val="21"/>
              </w:rPr>
              <w:t>）艺术教育发展年度报告</w:t>
            </w:r>
          </w:p>
        </w:tc>
        <w:tc>
          <w:tcPr>
            <w:tcW w:w="4917" w:type="dxa"/>
            <w:vAlign w:val="center"/>
          </w:tcPr>
          <w:p>
            <w:pPr>
              <w:adjustRightInd w:val="0"/>
              <w:snapToGrid w:val="0"/>
              <w:spacing w:line="240" w:lineRule="exact"/>
              <w:jc w:val="center"/>
              <w:rPr>
                <w:rFonts w:ascii="宋体" w:hAnsi="宋体" w:cs="宋体"/>
                <w:szCs w:val="21"/>
              </w:rPr>
            </w:pPr>
            <w:r>
              <w:rPr>
                <w:rFonts w:hint="eastAsia" w:ascii="宋体" w:hAnsi="宋体" w:cs="宋体"/>
                <w:szCs w:val="21"/>
              </w:rPr>
              <w:t>http://tuanwei.zjhu.edu.cn/2014/content/?2580.html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35</w:t>
            </w:r>
            <w:r>
              <w:rPr>
                <w:rFonts w:hint="eastAsia" w:ascii="宋体" w:hAnsi="宋体" w:cs="宋体"/>
                <w:kern w:val="0"/>
                <w:szCs w:val="21"/>
              </w:rPr>
              <w:t>）本科教学质量报告</w:t>
            </w:r>
          </w:p>
        </w:tc>
        <w:tc>
          <w:tcPr>
            <w:tcW w:w="4917" w:type="dxa"/>
            <w:vAlign w:val="center"/>
          </w:tcPr>
          <w:p>
            <w:pPr>
              <w:widowControl/>
              <w:adjustRightInd w:val="0"/>
              <w:snapToGrid w:val="0"/>
              <w:spacing w:line="240" w:lineRule="exact"/>
              <w:jc w:val="center"/>
              <w:rPr>
                <w:rFonts w:ascii="宋体" w:cs="宋体"/>
                <w:szCs w:val="21"/>
              </w:rPr>
            </w:pPr>
            <w:r>
              <w:rPr>
                <w:rFonts w:hint="eastAsia" w:ascii="宋体" w:hAnsi="宋体" w:cs="宋体"/>
                <w:szCs w:val="21"/>
              </w:rPr>
              <w:t>http://jwc.zjhu.edu.cn/show.aspx?id=1841&amp;cid=81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ascii="宋体" w:hAnsi="宋体" w:cs="宋体"/>
                <w:kern w:val="0"/>
                <w:szCs w:val="21"/>
              </w:rPr>
              <w:t>6</w:t>
            </w:r>
          </w:p>
        </w:tc>
        <w:tc>
          <w:tcPr>
            <w:tcW w:w="1395"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学生管理服务信息（</w:t>
            </w:r>
            <w:r>
              <w:rPr>
                <w:rFonts w:ascii="宋体" w:hAnsi="宋体" w:cs="宋体"/>
                <w:kern w:val="0"/>
                <w:szCs w:val="21"/>
              </w:rPr>
              <w:t>4</w:t>
            </w:r>
            <w:r>
              <w:rPr>
                <w:rFonts w:hint="eastAsia" w:ascii="宋体" w:hAnsi="宋体" w:cs="宋体"/>
                <w:kern w:val="0"/>
                <w:szCs w:val="21"/>
              </w:rPr>
              <w:t>项）</w:t>
            </w: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36</w:t>
            </w:r>
            <w:r>
              <w:rPr>
                <w:rFonts w:hint="eastAsia" w:ascii="宋体" w:hAnsi="宋体" w:cs="宋体"/>
                <w:kern w:val="0"/>
                <w:szCs w:val="21"/>
              </w:rPr>
              <w:t>）学籍管理办法</w:t>
            </w:r>
          </w:p>
        </w:tc>
        <w:tc>
          <w:tcPr>
            <w:tcW w:w="4917" w:type="dxa"/>
            <w:vAlign w:val="center"/>
          </w:tcPr>
          <w:p>
            <w:pPr>
              <w:widowControl/>
              <w:adjustRightInd w:val="0"/>
              <w:snapToGrid w:val="0"/>
              <w:spacing w:line="240" w:lineRule="exact"/>
              <w:jc w:val="center"/>
              <w:rPr>
                <w:rFonts w:ascii="宋体" w:cs="宋体"/>
                <w:szCs w:val="21"/>
              </w:rPr>
            </w:pPr>
            <w:r>
              <w:rPr>
                <w:rFonts w:hint="eastAsia" w:ascii="宋体" w:hAnsi="宋体" w:cs="宋体"/>
                <w:szCs w:val="21"/>
              </w:rPr>
              <w:t>http://jwc.zjhu.edu.cn/show.aspx?id=1469&amp;cid=30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37</w:t>
            </w:r>
            <w:r>
              <w:rPr>
                <w:rFonts w:hint="eastAsia" w:ascii="宋体" w:hAnsi="宋体" w:cs="宋体"/>
                <w:kern w:val="0"/>
                <w:szCs w:val="21"/>
              </w:rPr>
              <w:t>）学生奖学金、助学金、学费减免、助学贷款、勤工俭学的申请与管理规定</w:t>
            </w:r>
          </w:p>
        </w:tc>
        <w:tc>
          <w:tcPr>
            <w:tcW w:w="4917" w:type="dxa"/>
            <w:vAlign w:val="center"/>
          </w:tcPr>
          <w:p>
            <w:pPr>
              <w:adjustRightInd w:val="0"/>
              <w:snapToGrid w:val="0"/>
              <w:spacing w:line="240" w:lineRule="exact"/>
              <w:jc w:val="center"/>
              <w:rPr>
                <w:rFonts w:ascii="宋体" w:cs="宋体"/>
                <w:szCs w:val="21"/>
              </w:rPr>
            </w:pPr>
            <w:r>
              <w:rPr>
                <w:rFonts w:ascii="宋体" w:hAnsi="宋体" w:cs="宋体"/>
                <w:szCs w:val="21"/>
              </w:rPr>
              <w:t>http://xsc.zjhu.edu.cn/2012/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38</w:t>
            </w:r>
            <w:r>
              <w:rPr>
                <w:rFonts w:hint="eastAsia" w:ascii="宋体" w:hAnsi="宋体" w:cs="宋体"/>
                <w:kern w:val="0"/>
                <w:szCs w:val="21"/>
              </w:rPr>
              <w:t>）学生奖励处罚办法</w:t>
            </w:r>
          </w:p>
        </w:tc>
        <w:tc>
          <w:tcPr>
            <w:tcW w:w="4917" w:type="dxa"/>
            <w:vAlign w:val="center"/>
          </w:tcPr>
          <w:p>
            <w:pPr>
              <w:adjustRightInd w:val="0"/>
              <w:snapToGrid w:val="0"/>
              <w:spacing w:line="240" w:lineRule="exact"/>
              <w:jc w:val="center"/>
              <w:rPr>
                <w:rFonts w:ascii="宋体" w:cs="宋体"/>
                <w:szCs w:val="21"/>
              </w:rPr>
            </w:pPr>
            <w:r>
              <w:rPr>
                <w:rFonts w:ascii="宋体" w:hAnsi="宋体" w:cs="宋体"/>
                <w:szCs w:val="21"/>
              </w:rPr>
              <w:t>http://xsc.zjhu.edu.cn/2012/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39</w:t>
            </w:r>
            <w:r>
              <w:rPr>
                <w:rFonts w:hint="eastAsia" w:ascii="宋体" w:hAnsi="宋体" w:cs="宋体"/>
                <w:kern w:val="0"/>
                <w:szCs w:val="21"/>
              </w:rPr>
              <w:t>）学生申诉办法</w:t>
            </w:r>
          </w:p>
        </w:tc>
        <w:tc>
          <w:tcPr>
            <w:tcW w:w="4917" w:type="dxa"/>
            <w:vAlign w:val="center"/>
          </w:tcPr>
          <w:p>
            <w:pPr>
              <w:adjustRightInd w:val="0"/>
              <w:snapToGrid w:val="0"/>
              <w:spacing w:line="240" w:lineRule="exact"/>
              <w:jc w:val="center"/>
              <w:rPr>
                <w:rFonts w:ascii="宋体" w:cs="宋体"/>
                <w:szCs w:val="21"/>
              </w:rPr>
            </w:pPr>
            <w:r>
              <w:rPr>
                <w:rFonts w:ascii="宋体" w:hAnsi="宋体" w:cs="宋体"/>
                <w:szCs w:val="21"/>
              </w:rPr>
              <w:t>http://xsc.zjhu.edu.cn/2012/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ascii="宋体" w:hAnsi="宋体" w:cs="宋体"/>
                <w:kern w:val="0"/>
                <w:szCs w:val="21"/>
              </w:rPr>
              <w:t>7</w:t>
            </w:r>
          </w:p>
        </w:tc>
        <w:tc>
          <w:tcPr>
            <w:tcW w:w="1395"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学风建设信息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项）</w:t>
            </w: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40</w:t>
            </w:r>
            <w:r>
              <w:rPr>
                <w:rFonts w:hint="eastAsia" w:ascii="宋体" w:hAnsi="宋体" w:cs="宋体"/>
                <w:kern w:val="0"/>
                <w:szCs w:val="21"/>
              </w:rPr>
              <w:t>）学风建设机构</w:t>
            </w:r>
          </w:p>
        </w:tc>
        <w:tc>
          <w:tcPr>
            <w:tcW w:w="4917" w:type="dxa"/>
            <w:vMerge w:val="restart"/>
            <w:vAlign w:val="center"/>
          </w:tcPr>
          <w:p>
            <w:pPr>
              <w:widowControl/>
              <w:adjustRightInd w:val="0"/>
              <w:snapToGrid w:val="0"/>
              <w:spacing w:line="240" w:lineRule="exact"/>
              <w:jc w:val="center"/>
              <w:rPr>
                <w:rFonts w:ascii="宋体" w:cs="宋体"/>
                <w:szCs w:val="21"/>
              </w:rPr>
            </w:pPr>
            <w:r>
              <w:rPr>
                <w:rFonts w:ascii="宋体" w:hAnsi="宋体" w:cs="宋体"/>
                <w:szCs w:val="21"/>
              </w:rPr>
              <w:t>http://szxy.zjhu.edu.cn/red.html</w:t>
            </w:r>
            <w:r>
              <w:rPr>
                <w:rFonts w:hint="eastAsia" w:ascii="宋体" w:hAnsi="宋体" w:cs="宋体"/>
                <w:szCs w:val="21"/>
              </w:rPr>
              <w:t>（数字校园内网）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41</w:t>
            </w:r>
            <w:r>
              <w:rPr>
                <w:rFonts w:hint="eastAsia" w:ascii="宋体" w:hAnsi="宋体" w:cs="宋体"/>
                <w:kern w:val="0"/>
                <w:szCs w:val="21"/>
              </w:rPr>
              <w:t>）学术规范制度</w:t>
            </w:r>
          </w:p>
        </w:tc>
        <w:tc>
          <w:tcPr>
            <w:tcW w:w="4917" w:type="dxa"/>
            <w:vMerge w:val="continue"/>
            <w:vAlign w:val="center"/>
          </w:tcPr>
          <w:p>
            <w:pPr>
              <w:adjustRightInd w:val="0"/>
              <w:snapToGrid w:val="0"/>
              <w:spacing w:line="240" w:lineRule="exact"/>
              <w:jc w:val="center"/>
              <w:rPr>
                <w:rFonts w:ascii="宋体" w:cs="宋体"/>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42</w:t>
            </w:r>
            <w:r>
              <w:rPr>
                <w:rFonts w:hint="eastAsia" w:ascii="宋体" w:hAnsi="宋体" w:cs="宋体"/>
                <w:kern w:val="0"/>
                <w:szCs w:val="21"/>
              </w:rPr>
              <w:t>）学术不端行为查处机制</w:t>
            </w:r>
          </w:p>
        </w:tc>
        <w:tc>
          <w:tcPr>
            <w:tcW w:w="4917" w:type="dxa"/>
            <w:vMerge w:val="continue"/>
            <w:vAlign w:val="center"/>
          </w:tcPr>
          <w:p>
            <w:pPr>
              <w:adjustRightInd w:val="0"/>
              <w:snapToGrid w:val="0"/>
              <w:spacing w:line="240" w:lineRule="exact"/>
              <w:jc w:val="center"/>
              <w:rPr>
                <w:rFonts w:ascii="宋体" w:cs="宋体"/>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ascii="宋体" w:hAnsi="宋体" w:cs="宋体"/>
                <w:kern w:val="0"/>
                <w:szCs w:val="21"/>
              </w:rPr>
              <w:t>8</w:t>
            </w:r>
          </w:p>
        </w:tc>
        <w:tc>
          <w:tcPr>
            <w:tcW w:w="1395"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学位、学科信息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项）</w:t>
            </w: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43</w:t>
            </w:r>
            <w:r>
              <w:rPr>
                <w:rFonts w:hint="eastAsia" w:ascii="宋体" w:hAnsi="宋体" w:cs="宋体"/>
                <w:kern w:val="0"/>
                <w:szCs w:val="21"/>
              </w:rPr>
              <w:t>）授予博士、硕士、学士学位的基本要求</w:t>
            </w:r>
          </w:p>
        </w:tc>
        <w:tc>
          <w:tcPr>
            <w:tcW w:w="4917" w:type="dxa"/>
            <w:vAlign w:val="center"/>
          </w:tcPr>
          <w:p>
            <w:pPr>
              <w:widowControl/>
              <w:adjustRightInd w:val="0"/>
              <w:snapToGrid w:val="0"/>
              <w:spacing w:line="240" w:lineRule="exact"/>
              <w:jc w:val="center"/>
              <w:rPr>
                <w:rFonts w:ascii="宋体" w:hAnsi="宋体" w:cs="宋体"/>
                <w:szCs w:val="21"/>
              </w:rPr>
            </w:pPr>
            <w:r>
              <w:rPr>
                <w:rFonts w:hint="eastAsia" w:ascii="宋体" w:hAnsi="宋体" w:cs="宋体"/>
                <w:kern w:val="0"/>
                <w:szCs w:val="21"/>
              </w:rPr>
              <w:t>硕士学位授予的基本要求：</w:t>
            </w:r>
            <w:r>
              <w:rPr>
                <w:rFonts w:ascii="宋体" w:hAnsi="宋体" w:cs="宋体"/>
                <w:szCs w:val="21"/>
              </w:rPr>
              <w:t>http://yjsc.zjhu.edu.cn/show.aspx?id=59&amp;cid=50</w:t>
            </w:r>
          </w:p>
          <w:p>
            <w:pPr>
              <w:widowControl/>
              <w:adjustRightInd w:val="0"/>
              <w:snapToGrid w:val="0"/>
              <w:spacing w:line="240" w:lineRule="exact"/>
              <w:jc w:val="center"/>
              <w:rPr>
                <w:rFonts w:ascii="宋体" w:cs="宋体"/>
                <w:kern w:val="0"/>
                <w:szCs w:val="21"/>
              </w:rPr>
            </w:pPr>
            <w:r>
              <w:rPr>
                <w:rFonts w:hint="eastAsia" w:ascii="宋体" w:hAnsi="宋体" w:cs="宋体"/>
                <w:kern w:val="0"/>
                <w:szCs w:val="21"/>
              </w:rPr>
              <w:t>学士学位授予的基本要求：http://jwc.zjhu.edu.cn/show.aspx?id=1472&amp;cid=30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44</w:t>
            </w:r>
            <w:r>
              <w:rPr>
                <w:rFonts w:hint="eastAsia" w:ascii="宋体" w:hAnsi="宋体" w:cs="宋体"/>
                <w:kern w:val="0"/>
                <w:szCs w:val="21"/>
              </w:rPr>
              <w:t>）拟授予硕士、博士学位同等学力人员资格审查和学力水平认定</w:t>
            </w:r>
          </w:p>
        </w:tc>
        <w:tc>
          <w:tcPr>
            <w:tcW w:w="4917" w:type="dxa"/>
            <w:vAlign w:val="center"/>
          </w:tcPr>
          <w:p>
            <w:pPr>
              <w:adjustRightInd w:val="0"/>
              <w:snapToGrid w:val="0"/>
              <w:spacing w:line="240" w:lineRule="exact"/>
              <w:jc w:val="center"/>
              <w:rPr>
                <w:rFonts w:ascii="宋体" w:cs="宋体"/>
                <w:kern w:val="0"/>
                <w:szCs w:val="21"/>
              </w:rPr>
            </w:pPr>
            <w:r>
              <w:rPr>
                <w:rFonts w:hint="eastAsia" w:ascii="宋体" w:hAnsi="宋体" w:cs="宋体"/>
                <w:kern w:val="0"/>
                <w:szCs w:val="21"/>
              </w:rPr>
              <w:t>学校目前发展阶段暂无此项工作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45</w:t>
            </w:r>
            <w:r>
              <w:rPr>
                <w:rFonts w:hint="eastAsia" w:ascii="宋体" w:hAnsi="宋体" w:cs="宋体"/>
                <w:kern w:val="0"/>
                <w:szCs w:val="21"/>
              </w:rPr>
              <w:t>）新增硕士、博士学位授权学科或专业学位授权点审核办法</w:t>
            </w:r>
          </w:p>
        </w:tc>
        <w:tc>
          <w:tcPr>
            <w:tcW w:w="4917" w:type="dxa"/>
            <w:vAlign w:val="center"/>
          </w:tcPr>
          <w:p>
            <w:pPr>
              <w:adjustRightInd w:val="0"/>
              <w:snapToGrid w:val="0"/>
              <w:spacing w:line="240" w:lineRule="exact"/>
              <w:jc w:val="center"/>
              <w:rPr>
                <w:rFonts w:ascii="宋体" w:cs="宋体"/>
                <w:kern w:val="0"/>
                <w:szCs w:val="21"/>
              </w:rPr>
            </w:pPr>
            <w:r>
              <w:rPr>
                <w:rFonts w:hint="eastAsia" w:ascii="宋体" w:hAnsi="宋体" w:cs="宋体"/>
                <w:kern w:val="0"/>
                <w:szCs w:val="21"/>
              </w:rPr>
              <w:t>学校目前发展阶段暂无此项工作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678"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adjustRightInd w:val="0"/>
              <w:snapToGrid w:val="0"/>
              <w:spacing w:line="240" w:lineRule="exact"/>
              <w:jc w:val="center"/>
              <w:rPr>
                <w:rFonts w:ascii="宋体" w:hAnsi="宋体" w:cs="宋体"/>
                <w:kern w:val="0"/>
                <w:szCs w:val="21"/>
              </w:rPr>
            </w:pPr>
            <w:r>
              <w:rPr>
                <w:rFonts w:hint="eastAsia" w:ascii="宋体" w:hAnsi="宋体" w:cs="宋体"/>
                <w:kern w:val="0"/>
                <w:szCs w:val="21"/>
              </w:rPr>
              <w:t>（</w:t>
            </w:r>
            <w:r>
              <w:rPr>
                <w:rFonts w:ascii="宋体" w:hAnsi="宋体" w:cs="宋体"/>
                <w:kern w:val="0"/>
                <w:szCs w:val="21"/>
              </w:rPr>
              <w:t>46</w:t>
            </w:r>
            <w:r>
              <w:rPr>
                <w:rFonts w:hint="eastAsia" w:ascii="宋体" w:hAnsi="宋体" w:cs="宋体"/>
                <w:kern w:val="0"/>
                <w:szCs w:val="21"/>
              </w:rPr>
              <w:t>）拟新增学位授权学科或专业学位授权点的申报及论证材料</w:t>
            </w:r>
          </w:p>
        </w:tc>
        <w:tc>
          <w:tcPr>
            <w:tcW w:w="4917" w:type="dxa"/>
            <w:vAlign w:val="center"/>
          </w:tcPr>
          <w:p>
            <w:pPr>
              <w:jc w:val="center"/>
              <w:rPr>
                <w:rFonts w:ascii="宋体" w:hAnsi="宋体" w:cs="宋体"/>
                <w:color w:val="000000" w:themeColor="text1"/>
                <w:kern w:val="0"/>
                <w:szCs w:val="21"/>
              </w:rPr>
            </w:pPr>
            <w:r>
              <w:rPr>
                <w:rFonts w:hint="eastAsia" w:ascii="宋体" w:hAnsi="宋体" w:cs="宋体"/>
                <w:kern w:val="0"/>
                <w:szCs w:val="21"/>
              </w:rPr>
              <w:t>按省学位委员会要求，上报前在数字校园公示3天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ascii="宋体" w:hAnsi="宋体" w:cs="宋体"/>
                <w:kern w:val="0"/>
                <w:szCs w:val="21"/>
              </w:rPr>
              <w:t>9</w:t>
            </w:r>
          </w:p>
        </w:tc>
        <w:tc>
          <w:tcPr>
            <w:tcW w:w="1395"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对外交流与合作信息（</w:t>
            </w:r>
            <w:r>
              <w:rPr>
                <w:rFonts w:ascii="宋体" w:hAnsi="宋体" w:cs="宋体"/>
                <w:kern w:val="0"/>
                <w:szCs w:val="21"/>
              </w:rPr>
              <w:t>2</w:t>
            </w:r>
            <w:r>
              <w:rPr>
                <w:rFonts w:hint="eastAsia" w:ascii="宋体" w:hAnsi="宋体" w:cs="宋体"/>
                <w:kern w:val="0"/>
                <w:szCs w:val="21"/>
              </w:rPr>
              <w:t>项）</w:t>
            </w: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47</w:t>
            </w:r>
            <w:r>
              <w:rPr>
                <w:rFonts w:hint="eastAsia" w:ascii="宋体" w:hAnsi="宋体" w:cs="宋体"/>
                <w:kern w:val="0"/>
                <w:szCs w:val="21"/>
              </w:rPr>
              <w:t>）中外合作办学情况</w:t>
            </w:r>
          </w:p>
        </w:tc>
        <w:tc>
          <w:tcPr>
            <w:tcW w:w="4917" w:type="dxa"/>
            <w:vAlign w:val="center"/>
          </w:tcPr>
          <w:p>
            <w:pPr>
              <w:widowControl/>
              <w:adjustRightInd w:val="0"/>
              <w:snapToGrid w:val="0"/>
              <w:spacing w:line="240" w:lineRule="exact"/>
              <w:jc w:val="center"/>
              <w:rPr>
                <w:rFonts w:ascii="宋体" w:cs="宋体"/>
                <w:szCs w:val="21"/>
              </w:rPr>
            </w:pPr>
            <w:r>
              <w:rPr>
                <w:rFonts w:ascii="宋体" w:cs="宋体"/>
                <w:szCs w:val="21"/>
              </w:rPr>
              <w:t>http://wsc.zjhu.edu.cn/index_cn.asp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48</w:t>
            </w:r>
            <w:r>
              <w:rPr>
                <w:rFonts w:hint="eastAsia" w:ascii="宋体" w:hAnsi="宋体" w:cs="宋体"/>
                <w:kern w:val="0"/>
                <w:szCs w:val="21"/>
              </w:rPr>
              <w:t>）来华留学生管理相关规定</w:t>
            </w:r>
          </w:p>
        </w:tc>
        <w:tc>
          <w:tcPr>
            <w:tcW w:w="4917" w:type="dxa"/>
            <w:vAlign w:val="center"/>
          </w:tcPr>
          <w:p>
            <w:pPr>
              <w:adjustRightInd w:val="0"/>
              <w:snapToGrid w:val="0"/>
              <w:spacing w:line="240" w:lineRule="exact"/>
              <w:jc w:val="center"/>
              <w:rPr>
                <w:rFonts w:ascii="宋体" w:cs="宋体"/>
                <w:szCs w:val="21"/>
              </w:rPr>
            </w:pPr>
            <w:r>
              <w:rPr>
                <w:rFonts w:ascii="宋体" w:cs="宋体"/>
                <w:szCs w:val="21"/>
              </w:rPr>
              <w:t>http://gjxy.zjhu.edu.cn/list.asp?classid=23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ascii="宋体" w:hAnsi="宋体" w:cs="宋体"/>
                <w:kern w:val="0"/>
                <w:szCs w:val="21"/>
              </w:rPr>
              <w:t>10</w:t>
            </w:r>
          </w:p>
        </w:tc>
        <w:tc>
          <w:tcPr>
            <w:tcW w:w="1395" w:type="dxa"/>
            <w:vMerge w:val="restart"/>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其他（</w:t>
            </w:r>
            <w:r>
              <w:rPr>
                <w:rFonts w:ascii="宋体" w:hAnsi="宋体" w:cs="宋体"/>
                <w:kern w:val="0"/>
                <w:szCs w:val="21"/>
              </w:rPr>
              <w:t>2</w:t>
            </w:r>
            <w:r>
              <w:rPr>
                <w:rFonts w:hint="eastAsia" w:ascii="宋体" w:hAnsi="宋体" w:cs="宋体"/>
                <w:kern w:val="0"/>
                <w:szCs w:val="21"/>
              </w:rPr>
              <w:t>项）</w:t>
            </w:r>
          </w:p>
        </w:tc>
        <w:tc>
          <w:tcPr>
            <w:tcW w:w="6390"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w:t>
            </w:r>
            <w:r>
              <w:rPr>
                <w:rFonts w:ascii="宋体" w:hAnsi="宋体" w:cs="宋体"/>
                <w:kern w:val="0"/>
                <w:szCs w:val="21"/>
              </w:rPr>
              <w:t>49</w:t>
            </w:r>
            <w:r>
              <w:rPr>
                <w:rFonts w:hint="eastAsia" w:ascii="宋体" w:hAnsi="宋体" w:cs="宋体"/>
                <w:kern w:val="0"/>
                <w:szCs w:val="21"/>
              </w:rPr>
              <w:t>）巡视组反馈意见，落实反馈意见整改情况</w:t>
            </w:r>
          </w:p>
        </w:tc>
        <w:tc>
          <w:tcPr>
            <w:tcW w:w="4917" w:type="dxa"/>
            <w:vAlign w:val="center"/>
          </w:tcPr>
          <w:p>
            <w:pPr>
              <w:widowControl/>
              <w:adjustRightInd w:val="0"/>
              <w:snapToGrid w:val="0"/>
              <w:spacing w:line="240" w:lineRule="exact"/>
              <w:jc w:val="center"/>
              <w:rPr>
                <w:rFonts w:ascii="宋体" w:cs="宋体"/>
                <w:kern w:val="0"/>
                <w:szCs w:val="21"/>
              </w:rPr>
            </w:pPr>
            <w:r>
              <w:rPr>
                <w:rFonts w:hint="eastAsia" w:ascii="宋体" w:hAnsi="宋体" w:cs="宋体"/>
                <w:kern w:val="0"/>
                <w:szCs w:val="21"/>
              </w:rPr>
              <w:t>今年没有巡视工作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23"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390"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50</w:t>
            </w:r>
            <w:r>
              <w:rPr>
                <w:rFonts w:hint="eastAsia" w:ascii="宋体" w:hAnsi="宋体" w:cs="宋体"/>
                <w:kern w:val="0"/>
                <w:szCs w:val="21"/>
              </w:rPr>
              <w:t>）自然灾害等突发事件的应急处理预案、预警信息和处置情况，涉及学校的重大事件的调查和处理情况</w:t>
            </w:r>
          </w:p>
        </w:tc>
        <w:tc>
          <w:tcPr>
            <w:tcW w:w="4917" w:type="dxa"/>
            <w:tcBorders>
              <w:left w:val="nil"/>
            </w:tcBorders>
            <w:vAlign w:val="center"/>
          </w:tcPr>
          <w:p>
            <w:pPr>
              <w:widowControl/>
              <w:adjustRightInd w:val="0"/>
              <w:snapToGrid w:val="0"/>
              <w:spacing w:line="240" w:lineRule="exact"/>
              <w:jc w:val="center"/>
              <w:rPr>
                <w:rFonts w:ascii="宋体" w:cs="宋体"/>
                <w:szCs w:val="21"/>
              </w:rPr>
            </w:pPr>
            <w:r>
              <w:fldChar w:fldCharType="begin"/>
            </w:r>
            <w:r>
              <w:instrText xml:space="preserve"> HYPERLINK "http://www.hutc.zj.cn/" </w:instrText>
            </w:r>
            <w:r>
              <w:fldChar w:fldCharType="separate"/>
            </w:r>
            <w:r>
              <w:rPr>
                <w:rFonts w:ascii="宋体" w:hAnsi="宋体" w:cs="宋体"/>
                <w:szCs w:val="21"/>
              </w:rPr>
              <w:t>http://www.zjhu.edu.cn/</w:t>
            </w:r>
            <w:r>
              <w:rPr>
                <w:rFonts w:ascii="宋体" w:hAnsi="宋体" w:cs="宋体"/>
                <w:szCs w:val="21"/>
              </w:rPr>
              <w:fldChar w:fldCharType="end"/>
            </w:r>
            <w:r>
              <w:rPr>
                <w:rFonts w:hint="eastAsia" w:ascii="宋体" w:hAnsi="宋体" w:cs="宋体"/>
                <w:szCs w:val="21"/>
              </w:rPr>
              <w:t>（</w:t>
            </w:r>
            <w:r>
              <w:fldChar w:fldCharType="begin"/>
            </w:r>
            <w:r>
              <w:instrText xml:space="preserve"> HYPERLINK "http://www.hutc.zj.cn/Info/?Id=1" </w:instrText>
            </w:r>
            <w:r>
              <w:fldChar w:fldCharType="separate"/>
            </w:r>
            <w:r>
              <w:rPr>
                <w:rFonts w:hint="eastAsia" w:ascii="宋体" w:hAnsi="宋体" w:cs="宋体"/>
                <w:szCs w:val="21"/>
              </w:rPr>
              <w:t>通知公告</w:t>
            </w:r>
            <w:r>
              <w:rPr>
                <w:rFonts w:hint="eastAsia" w:ascii="宋体" w:hAnsi="宋体" w:cs="宋体"/>
                <w:szCs w:val="21"/>
              </w:rPr>
              <w:fldChar w:fldCharType="end"/>
            </w:r>
            <w:r>
              <w:rPr>
                <w:rFonts w:hint="eastAsia" w:ascii="宋体" w:hAnsi="宋体" w:cs="宋体"/>
                <w:szCs w:val="21"/>
              </w:rPr>
              <w:t>栏）</w:t>
            </w:r>
            <w:r>
              <w:rPr>
                <w:rFonts w:ascii="宋体" w:hAnsi="宋体" w:cs="宋体"/>
                <w:szCs w:val="21"/>
              </w:rPr>
              <w:t xml:space="preserve"> </w:t>
            </w:r>
          </w:p>
        </w:tc>
      </w:tr>
    </w:tbl>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0.35pt;width:4.55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8</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E20"/>
    <w:rsid w:val="000002C8"/>
    <w:rsid w:val="000042F2"/>
    <w:rsid w:val="00006B55"/>
    <w:rsid w:val="000229C1"/>
    <w:rsid w:val="0004402B"/>
    <w:rsid w:val="00047E29"/>
    <w:rsid w:val="00052464"/>
    <w:rsid w:val="000C2D7B"/>
    <w:rsid w:val="000D2136"/>
    <w:rsid w:val="000D4A68"/>
    <w:rsid w:val="000D6D0C"/>
    <w:rsid w:val="000D7646"/>
    <w:rsid w:val="000E7241"/>
    <w:rsid w:val="000F6B86"/>
    <w:rsid w:val="00103885"/>
    <w:rsid w:val="00105EDA"/>
    <w:rsid w:val="001249C5"/>
    <w:rsid w:val="0013351B"/>
    <w:rsid w:val="00135712"/>
    <w:rsid w:val="00154633"/>
    <w:rsid w:val="00163056"/>
    <w:rsid w:val="00163305"/>
    <w:rsid w:val="00172B87"/>
    <w:rsid w:val="001D62A1"/>
    <w:rsid w:val="001E5547"/>
    <w:rsid w:val="001F6FDA"/>
    <w:rsid w:val="00205175"/>
    <w:rsid w:val="00222D53"/>
    <w:rsid w:val="00227CB4"/>
    <w:rsid w:val="002323DA"/>
    <w:rsid w:val="00233627"/>
    <w:rsid w:val="0023393D"/>
    <w:rsid w:val="002459CE"/>
    <w:rsid w:val="00252582"/>
    <w:rsid w:val="00260FEA"/>
    <w:rsid w:val="002649A8"/>
    <w:rsid w:val="00272F40"/>
    <w:rsid w:val="00273C5E"/>
    <w:rsid w:val="002A3EA1"/>
    <w:rsid w:val="002A4AA1"/>
    <w:rsid w:val="002A6627"/>
    <w:rsid w:val="002A7747"/>
    <w:rsid w:val="002C1C31"/>
    <w:rsid w:val="002E2687"/>
    <w:rsid w:val="002E29CF"/>
    <w:rsid w:val="002E6113"/>
    <w:rsid w:val="002F0FD8"/>
    <w:rsid w:val="003267BF"/>
    <w:rsid w:val="00336951"/>
    <w:rsid w:val="003418EE"/>
    <w:rsid w:val="00367C7C"/>
    <w:rsid w:val="003A7FFB"/>
    <w:rsid w:val="003B58B3"/>
    <w:rsid w:val="003C1D5F"/>
    <w:rsid w:val="003D4D97"/>
    <w:rsid w:val="003E4567"/>
    <w:rsid w:val="003F71D0"/>
    <w:rsid w:val="00401D31"/>
    <w:rsid w:val="00403F1C"/>
    <w:rsid w:val="00406ADF"/>
    <w:rsid w:val="004167CD"/>
    <w:rsid w:val="00425211"/>
    <w:rsid w:val="0044040D"/>
    <w:rsid w:val="00451E56"/>
    <w:rsid w:val="004660D3"/>
    <w:rsid w:val="00466C65"/>
    <w:rsid w:val="00466F9C"/>
    <w:rsid w:val="00470672"/>
    <w:rsid w:val="00486478"/>
    <w:rsid w:val="00491EE7"/>
    <w:rsid w:val="00494F11"/>
    <w:rsid w:val="004962DF"/>
    <w:rsid w:val="004C2505"/>
    <w:rsid w:val="004D1121"/>
    <w:rsid w:val="004E3074"/>
    <w:rsid w:val="004E40C0"/>
    <w:rsid w:val="004E6A80"/>
    <w:rsid w:val="005102B1"/>
    <w:rsid w:val="00533F9E"/>
    <w:rsid w:val="0055706C"/>
    <w:rsid w:val="00580665"/>
    <w:rsid w:val="00585C23"/>
    <w:rsid w:val="00592437"/>
    <w:rsid w:val="005A547D"/>
    <w:rsid w:val="005C0901"/>
    <w:rsid w:val="005C2A69"/>
    <w:rsid w:val="005C669B"/>
    <w:rsid w:val="005D7D90"/>
    <w:rsid w:val="005F53AF"/>
    <w:rsid w:val="006002DE"/>
    <w:rsid w:val="00621676"/>
    <w:rsid w:val="00621AE0"/>
    <w:rsid w:val="0062257C"/>
    <w:rsid w:val="006263C4"/>
    <w:rsid w:val="00636834"/>
    <w:rsid w:val="00642B85"/>
    <w:rsid w:val="00691C3B"/>
    <w:rsid w:val="006A50A4"/>
    <w:rsid w:val="006C5D4D"/>
    <w:rsid w:val="006D4FFA"/>
    <w:rsid w:val="006E0859"/>
    <w:rsid w:val="006F70FF"/>
    <w:rsid w:val="006F76E4"/>
    <w:rsid w:val="00710210"/>
    <w:rsid w:val="00714322"/>
    <w:rsid w:val="00716F99"/>
    <w:rsid w:val="007231F0"/>
    <w:rsid w:val="007320E0"/>
    <w:rsid w:val="0073631A"/>
    <w:rsid w:val="0074199C"/>
    <w:rsid w:val="00746330"/>
    <w:rsid w:val="00750045"/>
    <w:rsid w:val="00756AD1"/>
    <w:rsid w:val="00774385"/>
    <w:rsid w:val="00785FDD"/>
    <w:rsid w:val="007D05A4"/>
    <w:rsid w:val="007D6F93"/>
    <w:rsid w:val="007F6857"/>
    <w:rsid w:val="00806741"/>
    <w:rsid w:val="00831515"/>
    <w:rsid w:val="00847465"/>
    <w:rsid w:val="00847A4D"/>
    <w:rsid w:val="008519B7"/>
    <w:rsid w:val="00854B5E"/>
    <w:rsid w:val="00864F3E"/>
    <w:rsid w:val="0086756E"/>
    <w:rsid w:val="00872776"/>
    <w:rsid w:val="0087387F"/>
    <w:rsid w:val="008776CA"/>
    <w:rsid w:val="00880E2F"/>
    <w:rsid w:val="00884DBA"/>
    <w:rsid w:val="00891FBB"/>
    <w:rsid w:val="008A34E2"/>
    <w:rsid w:val="008B281E"/>
    <w:rsid w:val="008D14DB"/>
    <w:rsid w:val="008F1070"/>
    <w:rsid w:val="00903825"/>
    <w:rsid w:val="00931CCD"/>
    <w:rsid w:val="009627D2"/>
    <w:rsid w:val="00973F01"/>
    <w:rsid w:val="00982EE2"/>
    <w:rsid w:val="009955D6"/>
    <w:rsid w:val="00995FEC"/>
    <w:rsid w:val="009A0BDF"/>
    <w:rsid w:val="009A38B4"/>
    <w:rsid w:val="009A7639"/>
    <w:rsid w:val="009A7D36"/>
    <w:rsid w:val="009E1EC7"/>
    <w:rsid w:val="009E4A7E"/>
    <w:rsid w:val="00A122B8"/>
    <w:rsid w:val="00A3190D"/>
    <w:rsid w:val="00A335AD"/>
    <w:rsid w:val="00A348B4"/>
    <w:rsid w:val="00A365FB"/>
    <w:rsid w:val="00A51FF5"/>
    <w:rsid w:val="00A629D2"/>
    <w:rsid w:val="00A65E15"/>
    <w:rsid w:val="00A66EB4"/>
    <w:rsid w:val="00A67610"/>
    <w:rsid w:val="00A8503D"/>
    <w:rsid w:val="00A85D3A"/>
    <w:rsid w:val="00A9220F"/>
    <w:rsid w:val="00A9544C"/>
    <w:rsid w:val="00AB3A41"/>
    <w:rsid w:val="00AC3580"/>
    <w:rsid w:val="00AC76C8"/>
    <w:rsid w:val="00AE7D0F"/>
    <w:rsid w:val="00B1190B"/>
    <w:rsid w:val="00B243F4"/>
    <w:rsid w:val="00B42B53"/>
    <w:rsid w:val="00B42D40"/>
    <w:rsid w:val="00B51D21"/>
    <w:rsid w:val="00B65964"/>
    <w:rsid w:val="00B84F4C"/>
    <w:rsid w:val="00BB343D"/>
    <w:rsid w:val="00BC357C"/>
    <w:rsid w:val="00BD0C27"/>
    <w:rsid w:val="00BE4631"/>
    <w:rsid w:val="00BF292B"/>
    <w:rsid w:val="00BF6F20"/>
    <w:rsid w:val="00C03693"/>
    <w:rsid w:val="00C0626A"/>
    <w:rsid w:val="00C17955"/>
    <w:rsid w:val="00C214E7"/>
    <w:rsid w:val="00C25F3B"/>
    <w:rsid w:val="00C262F1"/>
    <w:rsid w:val="00C44D12"/>
    <w:rsid w:val="00C66F46"/>
    <w:rsid w:val="00C80A8A"/>
    <w:rsid w:val="00CB07B5"/>
    <w:rsid w:val="00CB0A01"/>
    <w:rsid w:val="00CC71EB"/>
    <w:rsid w:val="00CD2771"/>
    <w:rsid w:val="00CD2DEC"/>
    <w:rsid w:val="00D01248"/>
    <w:rsid w:val="00D02804"/>
    <w:rsid w:val="00D2100C"/>
    <w:rsid w:val="00D23D15"/>
    <w:rsid w:val="00D446BB"/>
    <w:rsid w:val="00D51C51"/>
    <w:rsid w:val="00D536DC"/>
    <w:rsid w:val="00D6410C"/>
    <w:rsid w:val="00D7332B"/>
    <w:rsid w:val="00D84726"/>
    <w:rsid w:val="00DA38FC"/>
    <w:rsid w:val="00DC547F"/>
    <w:rsid w:val="00DC6FF5"/>
    <w:rsid w:val="00DC74C5"/>
    <w:rsid w:val="00DD2186"/>
    <w:rsid w:val="00DD5977"/>
    <w:rsid w:val="00DE3715"/>
    <w:rsid w:val="00DF0FFF"/>
    <w:rsid w:val="00DF341F"/>
    <w:rsid w:val="00E0189B"/>
    <w:rsid w:val="00E01EE1"/>
    <w:rsid w:val="00E034E3"/>
    <w:rsid w:val="00E16C98"/>
    <w:rsid w:val="00E35700"/>
    <w:rsid w:val="00E50EAB"/>
    <w:rsid w:val="00E53B9B"/>
    <w:rsid w:val="00E858CB"/>
    <w:rsid w:val="00E96087"/>
    <w:rsid w:val="00E962ED"/>
    <w:rsid w:val="00EA07D4"/>
    <w:rsid w:val="00EB1C1A"/>
    <w:rsid w:val="00ED35D0"/>
    <w:rsid w:val="00EE1298"/>
    <w:rsid w:val="00EE3C4E"/>
    <w:rsid w:val="00F07216"/>
    <w:rsid w:val="00F31A7E"/>
    <w:rsid w:val="00F353D4"/>
    <w:rsid w:val="00F435FC"/>
    <w:rsid w:val="00F45E20"/>
    <w:rsid w:val="00F50D91"/>
    <w:rsid w:val="00F8556B"/>
    <w:rsid w:val="00F87478"/>
    <w:rsid w:val="00F87A54"/>
    <w:rsid w:val="00F929D5"/>
    <w:rsid w:val="00F94222"/>
    <w:rsid w:val="00FB633D"/>
    <w:rsid w:val="00FD1406"/>
    <w:rsid w:val="00FE2FE5"/>
    <w:rsid w:val="00FF6FD8"/>
    <w:rsid w:val="01351007"/>
    <w:rsid w:val="03B46255"/>
    <w:rsid w:val="05797BD1"/>
    <w:rsid w:val="06AF6DB6"/>
    <w:rsid w:val="0A361B3A"/>
    <w:rsid w:val="0B2F0796"/>
    <w:rsid w:val="0C2D28E6"/>
    <w:rsid w:val="0E5B2FF1"/>
    <w:rsid w:val="0ED6021B"/>
    <w:rsid w:val="0F0043DF"/>
    <w:rsid w:val="151A4129"/>
    <w:rsid w:val="157F139B"/>
    <w:rsid w:val="1A84041B"/>
    <w:rsid w:val="1C8D36D9"/>
    <w:rsid w:val="1CB96762"/>
    <w:rsid w:val="1CC7596B"/>
    <w:rsid w:val="1D6B0FF3"/>
    <w:rsid w:val="1EB77A59"/>
    <w:rsid w:val="1F2D41F3"/>
    <w:rsid w:val="20666FCA"/>
    <w:rsid w:val="222A6E2E"/>
    <w:rsid w:val="22FF1E76"/>
    <w:rsid w:val="237649F5"/>
    <w:rsid w:val="273B3C44"/>
    <w:rsid w:val="29EF3C16"/>
    <w:rsid w:val="2D824143"/>
    <w:rsid w:val="30C05A82"/>
    <w:rsid w:val="32701FE8"/>
    <w:rsid w:val="32AB3776"/>
    <w:rsid w:val="32B254C6"/>
    <w:rsid w:val="348D7382"/>
    <w:rsid w:val="363C4579"/>
    <w:rsid w:val="3778680A"/>
    <w:rsid w:val="3A4F32E8"/>
    <w:rsid w:val="3E7639AE"/>
    <w:rsid w:val="3F9B6606"/>
    <w:rsid w:val="43E63854"/>
    <w:rsid w:val="45855A55"/>
    <w:rsid w:val="4DED0D7A"/>
    <w:rsid w:val="56144748"/>
    <w:rsid w:val="564F6E80"/>
    <w:rsid w:val="56C04A3C"/>
    <w:rsid w:val="576B29A7"/>
    <w:rsid w:val="58500550"/>
    <w:rsid w:val="5C445DA1"/>
    <w:rsid w:val="5D9D6EB8"/>
    <w:rsid w:val="608125A9"/>
    <w:rsid w:val="61794169"/>
    <w:rsid w:val="64CE42CF"/>
    <w:rsid w:val="6626343E"/>
    <w:rsid w:val="690F32B6"/>
    <w:rsid w:val="6BC80CC0"/>
    <w:rsid w:val="70A4086F"/>
    <w:rsid w:val="70B0111D"/>
    <w:rsid w:val="71567E4C"/>
    <w:rsid w:val="71A9480C"/>
    <w:rsid w:val="75A8792B"/>
    <w:rsid w:val="766D6A11"/>
    <w:rsid w:val="76A748E5"/>
    <w:rsid w:val="76C21D7D"/>
    <w:rsid w:val="782529C6"/>
    <w:rsid w:val="7B921A56"/>
    <w:rsid w:val="7E270058"/>
    <w:rsid w:val="7EB86A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semiHidden/>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rFonts w:ascii="Calibri" w:hAnsi="Calibri" w:cs="Arial"/>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rFonts w:ascii="Calibri" w:hAnsi="Calibri" w:cs="Arial"/>
      <w:sz w:val="18"/>
      <w:szCs w:val="18"/>
    </w:rPr>
  </w:style>
  <w:style w:type="paragraph" w:styleId="8">
    <w:name w:val="Normal (Web)"/>
    <w:basedOn w:val="1"/>
    <w:qFormat/>
    <w:uiPriority w:val="99"/>
    <w:pPr>
      <w:spacing w:before="100" w:beforeAutospacing="1" w:after="100" w:afterAutospacing="1"/>
      <w:jc w:val="left"/>
    </w:pPr>
    <w:rPr>
      <w:kern w:val="0"/>
      <w:sz w:val="24"/>
    </w:rPr>
  </w:style>
  <w:style w:type="character" w:styleId="11">
    <w:name w:val="Strong"/>
    <w:basedOn w:val="10"/>
    <w:qFormat/>
    <w:uiPriority w:val="99"/>
    <w:rPr>
      <w:rFonts w:cs="Times New Roman"/>
      <w:b/>
      <w:bCs/>
    </w:rPr>
  </w:style>
  <w:style w:type="character" w:styleId="12">
    <w:name w:val="FollowedHyperlink"/>
    <w:basedOn w:val="10"/>
    <w:semiHidden/>
    <w:qFormat/>
    <w:uiPriority w:val="99"/>
    <w:rPr>
      <w:rFonts w:cs="Times New Roman"/>
      <w:color w:val="800080"/>
      <w:u w:val="single"/>
    </w:rPr>
  </w:style>
  <w:style w:type="character" w:styleId="13">
    <w:name w:val="Hyperlink"/>
    <w:basedOn w:val="10"/>
    <w:qFormat/>
    <w:uiPriority w:val="99"/>
    <w:rPr>
      <w:rFonts w:cs="Times New Roman"/>
      <w:color w:val="0000FF"/>
      <w:u w:val="single"/>
    </w:rPr>
  </w:style>
  <w:style w:type="character" w:customStyle="1" w:styleId="14">
    <w:name w:val="标题 2 Char"/>
    <w:basedOn w:val="10"/>
    <w:link w:val="3"/>
    <w:semiHidden/>
    <w:qFormat/>
    <w:locked/>
    <w:uiPriority w:val="99"/>
    <w:rPr>
      <w:rFonts w:ascii="Cambria" w:hAnsi="Cambria" w:eastAsia="宋体" w:cs="Times New Roman"/>
      <w:b/>
      <w:bCs/>
      <w:sz w:val="32"/>
      <w:szCs w:val="32"/>
    </w:rPr>
  </w:style>
  <w:style w:type="character" w:customStyle="1" w:styleId="15">
    <w:name w:val="标题 3 Char"/>
    <w:basedOn w:val="10"/>
    <w:link w:val="4"/>
    <w:qFormat/>
    <w:locked/>
    <w:uiPriority w:val="99"/>
    <w:rPr>
      <w:rFonts w:ascii="宋体" w:hAnsi="宋体" w:eastAsia="宋体" w:cs="宋体"/>
      <w:b/>
      <w:bCs/>
      <w:kern w:val="0"/>
      <w:sz w:val="27"/>
      <w:szCs w:val="27"/>
    </w:rPr>
  </w:style>
  <w:style w:type="character" w:customStyle="1" w:styleId="16">
    <w:name w:val="批注框文本 Char"/>
    <w:basedOn w:val="10"/>
    <w:link w:val="5"/>
    <w:semiHidden/>
    <w:qFormat/>
    <w:locked/>
    <w:uiPriority w:val="99"/>
    <w:rPr>
      <w:rFonts w:ascii="Times New Roman" w:hAnsi="Times New Roman" w:eastAsia="宋体" w:cs="Times New Roman"/>
      <w:sz w:val="18"/>
      <w:szCs w:val="18"/>
    </w:rPr>
  </w:style>
  <w:style w:type="character" w:customStyle="1" w:styleId="17">
    <w:name w:val="页脚 Char"/>
    <w:basedOn w:val="10"/>
    <w:link w:val="6"/>
    <w:semiHidden/>
    <w:qFormat/>
    <w:locked/>
    <w:uiPriority w:val="99"/>
    <w:rPr>
      <w:rFonts w:cs="Times New Roman"/>
      <w:sz w:val="18"/>
      <w:szCs w:val="18"/>
    </w:rPr>
  </w:style>
  <w:style w:type="character" w:customStyle="1" w:styleId="18">
    <w:name w:val="页眉 Char"/>
    <w:basedOn w:val="10"/>
    <w:link w:val="7"/>
    <w:semiHidden/>
    <w:qFormat/>
    <w:locked/>
    <w:uiPriority w:val="99"/>
    <w:rPr>
      <w:rFonts w:cs="Times New Roman"/>
      <w:sz w:val="18"/>
      <w:szCs w:val="18"/>
    </w:rPr>
  </w:style>
  <w:style w:type="character" w:customStyle="1" w:styleId="19">
    <w:name w:val="apple-converted-space"/>
    <w:basedOn w:val="10"/>
    <w:qFormat/>
    <w:uiPriority w:val="99"/>
    <w:rPr>
      <w:rFonts w:cs="Times New Roman"/>
    </w:rPr>
  </w:style>
  <w:style w:type="paragraph" w:styleId="20">
    <w:name w:val="List Paragraph"/>
    <w:basedOn w:val="1"/>
    <w:qFormat/>
    <w:uiPriority w:val="99"/>
    <w:pPr>
      <w:ind w:firstLine="420" w:firstLineChars="200"/>
    </w:pPr>
  </w:style>
  <w:style w:type="character" w:customStyle="1" w:styleId="21">
    <w:name w:val="标题 1 Char"/>
    <w:basedOn w:val="10"/>
    <w:link w:val="2"/>
    <w:qFormat/>
    <w:uiPriority w:val="0"/>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12</Pages>
  <Words>1295</Words>
  <Characters>7383</Characters>
  <Lines>61</Lines>
  <Paragraphs>17</Paragraphs>
  <TotalTime>4</TotalTime>
  <ScaleCrop>false</ScaleCrop>
  <LinksUpToDate>false</LinksUpToDate>
  <CharactersWithSpaces>8661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2017-10-16T08:33:00Z</dcterms:created>
  <dc:creator>李永锋</dc:creator>
  <cp:lastModifiedBy>王晓丽</cp:lastModifiedBy>
  <cp:lastPrinted>2019-10-29T07:48:00Z</cp:lastPrinted>
  <dcterms:modified xsi:type="dcterms:W3CDTF">2020-10-30T08:34:39Z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